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</w:rPr>
        <w:drawing>
          <wp:inline distB="114300" distT="114300" distL="114300" distR="114300">
            <wp:extent cx="5943600" cy="3962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white"/>
          <w:rtl w:val="0"/>
        </w:rPr>
        <w:t xml:space="preserve">Fig 3. </w:t>
      </w:r>
      <w:r w:rsidDel="00000000" w:rsidR="00000000" w:rsidRPr="00000000">
        <w:rPr>
          <w:rFonts w:ascii="Gungsuh" w:cs="Gungsuh" w:eastAsia="Gungsuh" w:hAnsi="Gungsuh"/>
          <w:sz w:val="24"/>
          <w:szCs w:val="24"/>
          <w:highlight w:val="white"/>
          <w:rtl w:val="0"/>
        </w:rPr>
        <w:t xml:space="preserve">Cohort selection and propensity score matching for adults (age ≥18 years) undergoing total knee arthroplasty (CPT 27447) in the TriNetX US Collaborative Network (query executed January 17, 2026). Perioperative gabapentinoid exposure was defined using EHR medication documentation and categorized as: Continuation (gabapentin and/or pregabalin within 3 months pre-index and again within 2 days post-index), New start (none within 3 months pre-index and gabapentin and/or pregabalin within 2 days post-index), and Never (none within 3 months pre-index and none within 2 days post-index). Separate 1:1 propensity score matching was performed for three pairwise comparisons: Panel A Continuation vs Never (n=126,941 per cohort), Panel B Continuation vs New start (n=6,227 per cohort), and Panel C Never vs New start (n=6,221 per cohort). Outcomes were assessed within 30 and 90 days after the index procedure, beginning 1 day post-index.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