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spacing w:after="80" w:before="20" w:line="240" w:lineRule="auto"/>
        <w:rPr>
          <w:rFonts w:ascii="Calibri" w:cs="Calibri" w:eastAsia="Calibri" w:hAnsi="Calibri"/>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Appendix Table A1. Interval-specific all-cause death counts used as the competing event in the cumulative incidence estimation.</w:t>
      </w:r>
      <w:r w:rsidDel="00000000" w:rsidR="00000000" w:rsidRPr="00000000">
        <w:rPr>
          <w:rtl w:val="0"/>
        </w:rPr>
      </w:r>
    </w:p>
    <w:tbl>
      <w:tblPr>
        <w:tblStyle w:val="Table1"/>
        <w:tblW w:w="10820.0" w:type="dxa"/>
        <w:jc w:val="left"/>
        <w:tblBorders>
          <w:top w:color="808080" w:space="0" w:sz="4" w:val="single"/>
          <w:left w:color="808080" w:space="0" w:sz="4" w:val="single"/>
          <w:bottom w:color="808080" w:space="0" w:sz="4" w:val="single"/>
          <w:right w:color="808080" w:space="0" w:sz="4" w:val="single"/>
          <w:insideH w:color="808080" w:space="0" w:sz="4" w:val="single"/>
          <w:insideV w:color="808080" w:space="0" w:sz="4" w:val="single"/>
        </w:tblBorders>
        <w:tblLayout w:type="fixed"/>
        <w:tblLook w:val="0000"/>
      </w:tblPr>
      <w:tblGrid>
        <w:gridCol w:w="2660"/>
        <w:gridCol w:w="1880"/>
        <w:gridCol w:w="1880"/>
        <w:gridCol w:w="1880"/>
        <w:gridCol w:w="2520"/>
        <w:tblGridChange w:id="0">
          <w:tblGrid>
            <w:gridCol w:w="2660"/>
            <w:gridCol w:w="1880"/>
            <w:gridCol w:w="1880"/>
            <w:gridCol w:w="1880"/>
            <w:gridCol w:w="2520"/>
          </w:tblGrid>
        </w:tblGridChange>
      </w:tblGrid>
      <w:tr>
        <w:trPr>
          <w:cantSplit w:val="0"/>
          <w:tblHeader w:val="1"/>
        </w:trPr>
        <w:tc>
          <w:tcPr>
            <w:shd w:fill="d9d9d9" w:val="clear"/>
            <w:tcMar>
              <w:top w:w="40.0" w:type="dxa"/>
              <w:left w:w="60.0" w:type="dxa"/>
              <w:bottom w:w="40.0" w:type="dxa"/>
              <w:right w:w="60.0" w:type="dxa"/>
            </w:tcMar>
            <w:vAlign w:val="center"/>
          </w:tcPr>
          <w:p w:rsidR="00000000" w:rsidDel="00000000" w:rsidP="00000000" w:rsidRDefault="00000000" w:rsidRPr="00000000" w14:paraId="00000002">
            <w:pPr>
              <w:spacing w:before="20" w:line="240" w:lineRule="auto"/>
              <w:rPr>
                <w:rFonts w:ascii="Calibri" w:cs="Calibri" w:eastAsia="Calibri" w:hAnsi="Calibri"/>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Cohort</w:t>
            </w:r>
            <w:r w:rsidDel="00000000" w:rsidR="00000000" w:rsidRPr="00000000">
              <w:rPr>
                <w:rtl w:val="0"/>
              </w:rPr>
            </w:r>
          </w:p>
        </w:tc>
        <w:tc>
          <w:tcPr>
            <w:shd w:fill="d9d9d9" w:val="clear"/>
            <w:tcMar>
              <w:top w:w="40.0" w:type="dxa"/>
              <w:left w:w="60.0" w:type="dxa"/>
              <w:bottom w:w="40.0" w:type="dxa"/>
              <w:right w:w="60.0" w:type="dxa"/>
            </w:tcMar>
            <w:vAlign w:val="center"/>
          </w:tcPr>
          <w:p w:rsidR="00000000" w:rsidDel="00000000" w:rsidP="00000000" w:rsidRDefault="00000000" w:rsidRPr="00000000" w14:paraId="00000003">
            <w:pPr>
              <w:spacing w:before="20" w:line="240" w:lineRule="auto"/>
              <w:jc w:val="center"/>
              <w:rPr>
                <w:rFonts w:ascii="Calibri" w:cs="Calibri" w:eastAsia="Calibri" w:hAnsi="Calibri"/>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Deaths by 90 days</w:t>
            </w:r>
            <w:r w:rsidDel="00000000" w:rsidR="00000000" w:rsidRPr="00000000">
              <w:rPr>
                <w:rtl w:val="0"/>
              </w:rPr>
            </w:r>
          </w:p>
        </w:tc>
        <w:tc>
          <w:tcPr>
            <w:shd w:fill="d9d9d9" w:val="clear"/>
            <w:tcMar>
              <w:top w:w="40.0" w:type="dxa"/>
              <w:left w:w="60.0" w:type="dxa"/>
              <w:bottom w:w="40.0" w:type="dxa"/>
              <w:right w:w="60.0" w:type="dxa"/>
            </w:tcMar>
            <w:vAlign w:val="center"/>
          </w:tcPr>
          <w:p w:rsidR="00000000" w:rsidDel="00000000" w:rsidP="00000000" w:rsidRDefault="00000000" w:rsidRPr="00000000" w14:paraId="00000004">
            <w:pPr>
              <w:spacing w:before="20" w:line="240" w:lineRule="auto"/>
              <w:jc w:val="center"/>
              <w:rPr>
                <w:rFonts w:ascii="Calibri" w:cs="Calibri" w:eastAsia="Calibri" w:hAnsi="Calibri"/>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Deaths by 2 years</w:t>
            </w:r>
            <w:r w:rsidDel="00000000" w:rsidR="00000000" w:rsidRPr="00000000">
              <w:rPr>
                <w:rtl w:val="0"/>
              </w:rPr>
            </w:r>
          </w:p>
        </w:tc>
        <w:tc>
          <w:tcPr>
            <w:shd w:fill="d9d9d9" w:val="clear"/>
            <w:tcMar>
              <w:top w:w="40.0" w:type="dxa"/>
              <w:left w:w="60.0" w:type="dxa"/>
              <w:bottom w:w="40.0" w:type="dxa"/>
              <w:right w:w="60.0" w:type="dxa"/>
            </w:tcMar>
            <w:vAlign w:val="center"/>
          </w:tcPr>
          <w:p w:rsidR="00000000" w:rsidDel="00000000" w:rsidP="00000000" w:rsidRDefault="00000000" w:rsidRPr="00000000" w14:paraId="00000005">
            <w:pPr>
              <w:spacing w:before="20" w:line="240" w:lineRule="auto"/>
              <w:jc w:val="center"/>
              <w:rPr>
                <w:rFonts w:ascii="Calibri" w:cs="Calibri" w:eastAsia="Calibri" w:hAnsi="Calibri"/>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Deaths by 5 years</w:t>
            </w:r>
            <w:r w:rsidDel="00000000" w:rsidR="00000000" w:rsidRPr="00000000">
              <w:rPr>
                <w:rtl w:val="0"/>
              </w:rPr>
            </w:r>
          </w:p>
        </w:tc>
        <w:tc>
          <w:tcPr>
            <w:shd w:fill="d9d9d9" w:val="clear"/>
            <w:tcMar>
              <w:top w:w="40.0" w:type="dxa"/>
              <w:left w:w="60.0" w:type="dxa"/>
              <w:bottom w:w="40.0" w:type="dxa"/>
              <w:right w:w="60.0" w:type="dxa"/>
            </w:tcMar>
            <w:vAlign w:val="center"/>
          </w:tcPr>
          <w:p w:rsidR="00000000" w:rsidDel="00000000" w:rsidP="00000000" w:rsidRDefault="00000000" w:rsidRPr="00000000" w14:paraId="00000006">
            <w:pPr>
              <w:spacing w:before="20" w:line="240" w:lineRule="auto"/>
              <w:jc w:val="center"/>
              <w:rPr>
                <w:rFonts w:ascii="Calibri" w:cs="Calibri" w:eastAsia="Calibri" w:hAnsi="Calibri"/>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Deaths by 10 years</w:t>
            </w:r>
            <w:r w:rsidDel="00000000" w:rsidR="00000000" w:rsidRPr="00000000">
              <w:rPr>
                <w:rtl w:val="0"/>
              </w:rPr>
            </w:r>
          </w:p>
        </w:tc>
      </w:tr>
      <w:tr>
        <w:trPr>
          <w:cantSplit w:val="0"/>
          <w:tblHeader w:val="0"/>
        </w:trPr>
        <w:tc>
          <w:tcPr>
            <w:shd w:fill="f2f2f2" w:val="clear"/>
            <w:tcMar>
              <w:top w:w="40.0" w:type="dxa"/>
              <w:left w:w="60.0" w:type="dxa"/>
              <w:bottom w:w="40.0" w:type="dxa"/>
              <w:right w:w="60.0" w:type="dxa"/>
            </w:tcMar>
            <w:vAlign w:val="center"/>
          </w:tcPr>
          <w:p w:rsidR="00000000" w:rsidDel="00000000" w:rsidP="00000000" w:rsidRDefault="00000000" w:rsidRPr="00000000" w14:paraId="00000007">
            <w:pPr>
              <w:spacing w:before="20" w:line="240" w:lineRule="auto"/>
              <w:rPr>
                <w:rFonts w:ascii="Calibri" w:cs="Calibri" w:eastAsia="Calibri" w:hAnsi="Calibri"/>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Bimalleolar Ankle Fracture Repair</w:t>
            </w:r>
            <w:r w:rsidDel="00000000" w:rsidR="00000000" w:rsidRPr="00000000">
              <w:rPr>
                <w:rtl w:val="0"/>
              </w:rPr>
            </w:r>
          </w:p>
        </w:tc>
        <w:tc>
          <w:tcPr>
            <w:shd w:fill="f2f2f2" w:val="clear"/>
            <w:tcMar>
              <w:top w:w="40.0" w:type="dxa"/>
              <w:left w:w="60.0" w:type="dxa"/>
              <w:bottom w:w="40.0" w:type="dxa"/>
              <w:right w:w="60.0" w:type="dxa"/>
            </w:tcMar>
            <w:vAlign w:val="center"/>
          </w:tcPr>
          <w:p w:rsidR="00000000" w:rsidDel="00000000" w:rsidP="00000000" w:rsidRDefault="00000000" w:rsidRPr="00000000" w14:paraId="00000008">
            <w:pPr>
              <w:spacing w:before="20" w:line="240" w:lineRule="auto"/>
              <w:jc w:val="center"/>
              <w:rPr>
                <w:rFonts w:ascii="Calibri" w:cs="Calibri" w:eastAsia="Calibri" w:hAnsi="Calibri"/>
                <w:sz w:val="16"/>
                <w:szCs w:val="16"/>
              </w:rPr>
            </w:pPr>
            <w:r w:rsidDel="00000000" w:rsidR="00000000" w:rsidRPr="00000000">
              <w:rPr>
                <w:rtl w:val="0"/>
              </w:rPr>
            </w:r>
          </w:p>
        </w:tc>
        <w:tc>
          <w:tcPr>
            <w:shd w:fill="f2f2f2" w:val="clear"/>
            <w:tcMar>
              <w:top w:w="40.0" w:type="dxa"/>
              <w:left w:w="60.0" w:type="dxa"/>
              <w:bottom w:w="40.0" w:type="dxa"/>
              <w:right w:w="60.0" w:type="dxa"/>
            </w:tcMar>
            <w:vAlign w:val="center"/>
          </w:tcPr>
          <w:p w:rsidR="00000000" w:rsidDel="00000000" w:rsidP="00000000" w:rsidRDefault="00000000" w:rsidRPr="00000000" w14:paraId="00000009">
            <w:pPr>
              <w:spacing w:before="20" w:line="240" w:lineRule="auto"/>
              <w:jc w:val="center"/>
              <w:rPr>
                <w:rFonts w:ascii="Calibri" w:cs="Calibri" w:eastAsia="Calibri" w:hAnsi="Calibri"/>
                <w:sz w:val="16"/>
                <w:szCs w:val="16"/>
              </w:rPr>
            </w:pPr>
            <w:r w:rsidDel="00000000" w:rsidR="00000000" w:rsidRPr="00000000">
              <w:rPr>
                <w:rtl w:val="0"/>
              </w:rPr>
            </w:r>
          </w:p>
        </w:tc>
        <w:tc>
          <w:tcPr>
            <w:shd w:fill="f2f2f2" w:val="clear"/>
            <w:tcMar>
              <w:top w:w="40.0" w:type="dxa"/>
              <w:left w:w="60.0" w:type="dxa"/>
              <w:bottom w:w="40.0" w:type="dxa"/>
              <w:right w:w="60.0" w:type="dxa"/>
            </w:tcMar>
            <w:vAlign w:val="center"/>
          </w:tcPr>
          <w:p w:rsidR="00000000" w:rsidDel="00000000" w:rsidP="00000000" w:rsidRDefault="00000000" w:rsidRPr="00000000" w14:paraId="0000000A">
            <w:pPr>
              <w:spacing w:before="20" w:line="240" w:lineRule="auto"/>
              <w:jc w:val="center"/>
              <w:rPr>
                <w:rFonts w:ascii="Calibri" w:cs="Calibri" w:eastAsia="Calibri" w:hAnsi="Calibri"/>
                <w:sz w:val="16"/>
                <w:szCs w:val="16"/>
              </w:rPr>
            </w:pPr>
            <w:r w:rsidDel="00000000" w:rsidR="00000000" w:rsidRPr="00000000">
              <w:rPr>
                <w:rtl w:val="0"/>
              </w:rPr>
            </w:r>
          </w:p>
        </w:tc>
        <w:tc>
          <w:tcPr>
            <w:shd w:fill="f2f2f2" w:val="clear"/>
            <w:tcMar>
              <w:top w:w="40.0" w:type="dxa"/>
              <w:left w:w="60.0" w:type="dxa"/>
              <w:bottom w:w="40.0" w:type="dxa"/>
              <w:right w:w="60.0" w:type="dxa"/>
            </w:tcMar>
            <w:vAlign w:val="center"/>
          </w:tcPr>
          <w:p w:rsidR="00000000" w:rsidDel="00000000" w:rsidP="00000000" w:rsidRDefault="00000000" w:rsidRPr="00000000" w14:paraId="0000000B">
            <w:pPr>
              <w:spacing w:before="20" w:line="240" w:lineRule="auto"/>
              <w:jc w:val="center"/>
              <w:rPr>
                <w:rFonts w:ascii="Calibri" w:cs="Calibri" w:eastAsia="Calibri" w:hAnsi="Calibri"/>
                <w:sz w:val="16"/>
                <w:szCs w:val="16"/>
              </w:rPr>
            </w:pPr>
            <w:r w:rsidDel="00000000" w:rsidR="00000000" w:rsidRPr="00000000">
              <w:rPr>
                <w:rtl w:val="0"/>
              </w:rPr>
            </w:r>
          </w:p>
        </w:tc>
      </w:tr>
      <w:tr>
        <w:trPr>
          <w:cantSplit w:val="0"/>
          <w:tblHeader w:val="0"/>
        </w:trPr>
        <w:tc>
          <w:tcPr>
            <w:tcMar>
              <w:top w:w="40.0" w:type="dxa"/>
              <w:left w:w="60.0" w:type="dxa"/>
              <w:bottom w:w="40.0" w:type="dxa"/>
              <w:right w:w="60.0" w:type="dxa"/>
            </w:tcMar>
            <w:vAlign w:val="center"/>
          </w:tcPr>
          <w:p w:rsidR="00000000" w:rsidDel="00000000" w:rsidP="00000000" w:rsidRDefault="00000000" w:rsidRPr="00000000" w14:paraId="0000000C">
            <w:pPr>
              <w:spacing w:before="20" w:line="240" w:lineRule="auto"/>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No Comorbidity</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0D">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111</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0E">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222</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0F">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412</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10">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729</w:t>
            </w:r>
            <w:r w:rsidDel="00000000" w:rsidR="00000000" w:rsidRPr="00000000">
              <w:rPr>
                <w:rtl w:val="0"/>
              </w:rPr>
            </w:r>
          </w:p>
        </w:tc>
      </w:tr>
      <w:tr>
        <w:trPr>
          <w:cantSplit w:val="0"/>
          <w:tblHeader w:val="0"/>
        </w:trPr>
        <w:tc>
          <w:tcPr>
            <w:tcMar>
              <w:top w:w="40.0" w:type="dxa"/>
              <w:left w:w="60.0" w:type="dxa"/>
              <w:bottom w:w="40.0" w:type="dxa"/>
              <w:right w:w="60.0" w:type="dxa"/>
            </w:tcMar>
            <w:vAlign w:val="center"/>
          </w:tcPr>
          <w:p w:rsidR="00000000" w:rsidDel="00000000" w:rsidP="00000000" w:rsidRDefault="00000000" w:rsidRPr="00000000" w14:paraId="00000011">
            <w:pPr>
              <w:spacing w:before="20" w:line="240" w:lineRule="auto"/>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Diabetes</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12">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22</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13">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44</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14">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80</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15">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144</w:t>
            </w:r>
            <w:r w:rsidDel="00000000" w:rsidR="00000000" w:rsidRPr="00000000">
              <w:rPr>
                <w:rtl w:val="0"/>
              </w:rPr>
            </w:r>
          </w:p>
        </w:tc>
      </w:tr>
      <w:tr>
        <w:trPr>
          <w:cantSplit w:val="0"/>
          <w:tblHeader w:val="0"/>
        </w:trPr>
        <w:tc>
          <w:tcPr>
            <w:tcMar>
              <w:top w:w="40.0" w:type="dxa"/>
              <w:left w:w="60.0" w:type="dxa"/>
              <w:bottom w:w="40.0" w:type="dxa"/>
              <w:right w:w="60.0" w:type="dxa"/>
            </w:tcMar>
            <w:vAlign w:val="center"/>
          </w:tcPr>
          <w:p w:rsidR="00000000" w:rsidDel="00000000" w:rsidP="00000000" w:rsidRDefault="00000000" w:rsidRPr="00000000" w14:paraId="00000016">
            <w:pPr>
              <w:spacing w:before="20" w:line="240" w:lineRule="auto"/>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Peripheral Vascular Disease</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17">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25</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18">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52</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19">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96</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1A">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173</w:t>
            </w:r>
            <w:r w:rsidDel="00000000" w:rsidR="00000000" w:rsidRPr="00000000">
              <w:rPr>
                <w:rtl w:val="0"/>
              </w:rPr>
            </w:r>
          </w:p>
        </w:tc>
      </w:tr>
      <w:tr>
        <w:trPr>
          <w:cantSplit w:val="0"/>
          <w:tblHeader w:val="0"/>
        </w:trPr>
        <w:tc>
          <w:tcPr>
            <w:tcMar>
              <w:top w:w="40.0" w:type="dxa"/>
              <w:left w:w="60.0" w:type="dxa"/>
              <w:bottom w:w="40.0" w:type="dxa"/>
              <w:right w:w="60.0" w:type="dxa"/>
            </w:tcMar>
            <w:vAlign w:val="center"/>
          </w:tcPr>
          <w:p w:rsidR="00000000" w:rsidDel="00000000" w:rsidP="00000000" w:rsidRDefault="00000000" w:rsidRPr="00000000" w14:paraId="0000001B">
            <w:pPr>
              <w:spacing w:before="20" w:line="240" w:lineRule="auto"/>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Liver Disease</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1C">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16</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1D">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33</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1E">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62</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1F">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114</w:t>
            </w:r>
            <w:r w:rsidDel="00000000" w:rsidR="00000000" w:rsidRPr="00000000">
              <w:rPr>
                <w:rtl w:val="0"/>
              </w:rPr>
            </w:r>
          </w:p>
        </w:tc>
      </w:tr>
      <w:tr>
        <w:trPr>
          <w:cantSplit w:val="0"/>
          <w:tblHeader w:val="0"/>
        </w:trPr>
        <w:tc>
          <w:tcPr>
            <w:tcMar>
              <w:top w:w="40.0" w:type="dxa"/>
              <w:left w:w="60.0" w:type="dxa"/>
              <w:bottom w:w="40.0" w:type="dxa"/>
              <w:right w:w="60.0" w:type="dxa"/>
            </w:tcMar>
            <w:vAlign w:val="center"/>
          </w:tcPr>
          <w:p w:rsidR="00000000" w:rsidDel="00000000" w:rsidP="00000000" w:rsidRDefault="00000000" w:rsidRPr="00000000" w14:paraId="00000020">
            <w:pPr>
              <w:spacing w:before="20" w:line="240" w:lineRule="auto"/>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Renal Failure</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21">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47</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22">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104</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23">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195</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24">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368</w:t>
            </w:r>
            <w:r w:rsidDel="00000000" w:rsidR="00000000" w:rsidRPr="00000000">
              <w:rPr>
                <w:rtl w:val="0"/>
              </w:rPr>
            </w:r>
          </w:p>
        </w:tc>
      </w:tr>
      <w:tr>
        <w:trPr>
          <w:cantSplit w:val="0"/>
          <w:tblHeader w:val="0"/>
        </w:trPr>
        <w:tc>
          <w:tcPr>
            <w:tcMar>
              <w:top w:w="40.0" w:type="dxa"/>
              <w:left w:w="60.0" w:type="dxa"/>
              <w:bottom w:w="40.0" w:type="dxa"/>
              <w:right w:w="60.0" w:type="dxa"/>
            </w:tcMar>
            <w:vAlign w:val="center"/>
          </w:tcPr>
          <w:p w:rsidR="00000000" w:rsidDel="00000000" w:rsidP="00000000" w:rsidRDefault="00000000" w:rsidRPr="00000000" w14:paraId="00000025">
            <w:pPr>
              <w:spacing w:before="20" w:line="240" w:lineRule="auto"/>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Open Fracture</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26">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21</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27">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40</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28">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69</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29">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120</w:t>
            </w:r>
            <w:r w:rsidDel="00000000" w:rsidR="00000000" w:rsidRPr="00000000">
              <w:rPr>
                <w:rtl w:val="0"/>
              </w:rPr>
            </w:r>
          </w:p>
        </w:tc>
      </w:tr>
      <w:tr>
        <w:trPr>
          <w:cantSplit w:val="0"/>
          <w:tblHeader w:val="0"/>
        </w:trPr>
        <w:tc>
          <w:tcPr>
            <w:shd w:fill="f2f2f2" w:val="clear"/>
            <w:tcMar>
              <w:top w:w="40.0" w:type="dxa"/>
              <w:left w:w="60.0" w:type="dxa"/>
              <w:bottom w:w="40.0" w:type="dxa"/>
              <w:right w:w="60.0" w:type="dxa"/>
            </w:tcMar>
            <w:vAlign w:val="center"/>
          </w:tcPr>
          <w:p w:rsidR="00000000" w:rsidDel="00000000" w:rsidP="00000000" w:rsidRDefault="00000000" w:rsidRPr="00000000" w14:paraId="0000002A">
            <w:pPr>
              <w:spacing w:before="20" w:line="240" w:lineRule="auto"/>
              <w:rPr>
                <w:rFonts w:ascii="Calibri" w:cs="Calibri" w:eastAsia="Calibri" w:hAnsi="Calibri"/>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Isolated Lateral Malleolus Ankle Fracture Repair</w:t>
            </w:r>
            <w:r w:rsidDel="00000000" w:rsidR="00000000" w:rsidRPr="00000000">
              <w:rPr>
                <w:rtl w:val="0"/>
              </w:rPr>
            </w:r>
          </w:p>
        </w:tc>
        <w:tc>
          <w:tcPr>
            <w:shd w:fill="f2f2f2" w:val="clear"/>
            <w:tcMar>
              <w:top w:w="40.0" w:type="dxa"/>
              <w:left w:w="60.0" w:type="dxa"/>
              <w:bottom w:w="40.0" w:type="dxa"/>
              <w:right w:w="60.0" w:type="dxa"/>
            </w:tcMar>
            <w:vAlign w:val="center"/>
          </w:tcPr>
          <w:p w:rsidR="00000000" w:rsidDel="00000000" w:rsidP="00000000" w:rsidRDefault="00000000" w:rsidRPr="00000000" w14:paraId="0000002B">
            <w:pPr>
              <w:spacing w:before="20" w:line="240" w:lineRule="auto"/>
              <w:jc w:val="center"/>
              <w:rPr>
                <w:rFonts w:ascii="Calibri" w:cs="Calibri" w:eastAsia="Calibri" w:hAnsi="Calibri"/>
                <w:sz w:val="16"/>
                <w:szCs w:val="16"/>
              </w:rPr>
            </w:pPr>
            <w:r w:rsidDel="00000000" w:rsidR="00000000" w:rsidRPr="00000000">
              <w:rPr>
                <w:rtl w:val="0"/>
              </w:rPr>
            </w:r>
          </w:p>
        </w:tc>
        <w:tc>
          <w:tcPr>
            <w:shd w:fill="f2f2f2" w:val="clear"/>
            <w:tcMar>
              <w:top w:w="40.0" w:type="dxa"/>
              <w:left w:w="60.0" w:type="dxa"/>
              <w:bottom w:w="40.0" w:type="dxa"/>
              <w:right w:w="60.0" w:type="dxa"/>
            </w:tcMar>
            <w:vAlign w:val="center"/>
          </w:tcPr>
          <w:p w:rsidR="00000000" w:rsidDel="00000000" w:rsidP="00000000" w:rsidRDefault="00000000" w:rsidRPr="00000000" w14:paraId="0000002C">
            <w:pPr>
              <w:spacing w:before="20" w:line="240" w:lineRule="auto"/>
              <w:jc w:val="center"/>
              <w:rPr>
                <w:rFonts w:ascii="Calibri" w:cs="Calibri" w:eastAsia="Calibri" w:hAnsi="Calibri"/>
                <w:sz w:val="16"/>
                <w:szCs w:val="16"/>
              </w:rPr>
            </w:pPr>
            <w:r w:rsidDel="00000000" w:rsidR="00000000" w:rsidRPr="00000000">
              <w:rPr>
                <w:rtl w:val="0"/>
              </w:rPr>
            </w:r>
          </w:p>
        </w:tc>
        <w:tc>
          <w:tcPr>
            <w:shd w:fill="f2f2f2" w:val="clear"/>
            <w:tcMar>
              <w:top w:w="40.0" w:type="dxa"/>
              <w:left w:w="60.0" w:type="dxa"/>
              <w:bottom w:w="40.0" w:type="dxa"/>
              <w:right w:w="60.0" w:type="dxa"/>
            </w:tcMar>
            <w:vAlign w:val="center"/>
          </w:tcPr>
          <w:p w:rsidR="00000000" w:rsidDel="00000000" w:rsidP="00000000" w:rsidRDefault="00000000" w:rsidRPr="00000000" w14:paraId="0000002D">
            <w:pPr>
              <w:spacing w:before="20" w:line="240" w:lineRule="auto"/>
              <w:jc w:val="center"/>
              <w:rPr>
                <w:rFonts w:ascii="Calibri" w:cs="Calibri" w:eastAsia="Calibri" w:hAnsi="Calibri"/>
                <w:sz w:val="16"/>
                <w:szCs w:val="16"/>
              </w:rPr>
            </w:pPr>
            <w:r w:rsidDel="00000000" w:rsidR="00000000" w:rsidRPr="00000000">
              <w:rPr>
                <w:rtl w:val="0"/>
              </w:rPr>
            </w:r>
          </w:p>
        </w:tc>
        <w:tc>
          <w:tcPr>
            <w:shd w:fill="f2f2f2" w:val="clear"/>
            <w:tcMar>
              <w:top w:w="40.0" w:type="dxa"/>
              <w:left w:w="60.0" w:type="dxa"/>
              <w:bottom w:w="40.0" w:type="dxa"/>
              <w:right w:w="60.0" w:type="dxa"/>
            </w:tcMar>
            <w:vAlign w:val="center"/>
          </w:tcPr>
          <w:p w:rsidR="00000000" w:rsidDel="00000000" w:rsidP="00000000" w:rsidRDefault="00000000" w:rsidRPr="00000000" w14:paraId="0000002E">
            <w:pPr>
              <w:spacing w:before="20" w:line="240" w:lineRule="auto"/>
              <w:jc w:val="center"/>
              <w:rPr>
                <w:rFonts w:ascii="Calibri" w:cs="Calibri" w:eastAsia="Calibri" w:hAnsi="Calibri"/>
                <w:sz w:val="16"/>
                <w:szCs w:val="16"/>
              </w:rPr>
            </w:pPr>
            <w:r w:rsidDel="00000000" w:rsidR="00000000" w:rsidRPr="00000000">
              <w:rPr>
                <w:rtl w:val="0"/>
              </w:rPr>
            </w:r>
          </w:p>
        </w:tc>
      </w:tr>
      <w:tr>
        <w:trPr>
          <w:cantSplit w:val="0"/>
          <w:tblHeader w:val="0"/>
        </w:trPr>
        <w:tc>
          <w:tcPr>
            <w:tcMar>
              <w:top w:w="40.0" w:type="dxa"/>
              <w:left w:w="60.0" w:type="dxa"/>
              <w:bottom w:w="40.0" w:type="dxa"/>
              <w:right w:w="60.0" w:type="dxa"/>
            </w:tcMar>
            <w:vAlign w:val="center"/>
          </w:tcPr>
          <w:p w:rsidR="00000000" w:rsidDel="00000000" w:rsidP="00000000" w:rsidRDefault="00000000" w:rsidRPr="00000000" w14:paraId="0000002F">
            <w:pPr>
              <w:spacing w:before="20" w:line="240" w:lineRule="auto"/>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No Comorbidity</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30">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56</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31">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133</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32">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270</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33">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524</w:t>
            </w:r>
            <w:r w:rsidDel="00000000" w:rsidR="00000000" w:rsidRPr="00000000">
              <w:rPr>
                <w:rtl w:val="0"/>
              </w:rPr>
            </w:r>
          </w:p>
        </w:tc>
      </w:tr>
      <w:tr>
        <w:trPr>
          <w:cantSplit w:val="0"/>
          <w:tblHeader w:val="0"/>
        </w:trPr>
        <w:tc>
          <w:tcPr>
            <w:tcMar>
              <w:top w:w="40.0" w:type="dxa"/>
              <w:left w:w="60.0" w:type="dxa"/>
              <w:bottom w:w="40.0" w:type="dxa"/>
              <w:right w:w="60.0" w:type="dxa"/>
            </w:tcMar>
            <w:vAlign w:val="center"/>
          </w:tcPr>
          <w:p w:rsidR="00000000" w:rsidDel="00000000" w:rsidP="00000000" w:rsidRDefault="00000000" w:rsidRPr="00000000" w14:paraId="00000034">
            <w:pPr>
              <w:spacing w:before="20" w:line="240" w:lineRule="auto"/>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Diabetes</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35">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11</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36">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23</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37">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45</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38">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85</w:t>
            </w:r>
            <w:r w:rsidDel="00000000" w:rsidR="00000000" w:rsidRPr="00000000">
              <w:rPr>
                <w:rtl w:val="0"/>
              </w:rPr>
            </w:r>
          </w:p>
        </w:tc>
      </w:tr>
      <w:tr>
        <w:trPr>
          <w:cantSplit w:val="0"/>
          <w:tblHeader w:val="0"/>
        </w:trPr>
        <w:tc>
          <w:tcPr>
            <w:tcMar>
              <w:top w:w="40.0" w:type="dxa"/>
              <w:left w:w="60.0" w:type="dxa"/>
              <w:bottom w:w="40.0" w:type="dxa"/>
              <w:right w:w="60.0" w:type="dxa"/>
            </w:tcMar>
            <w:vAlign w:val="center"/>
          </w:tcPr>
          <w:p w:rsidR="00000000" w:rsidDel="00000000" w:rsidP="00000000" w:rsidRDefault="00000000" w:rsidRPr="00000000" w14:paraId="00000039">
            <w:pPr>
              <w:spacing w:before="20" w:line="240" w:lineRule="auto"/>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Peripheral Vascular Disease</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3A">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14</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3B">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30</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3C">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58</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3D">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107</w:t>
            </w:r>
            <w:r w:rsidDel="00000000" w:rsidR="00000000" w:rsidRPr="00000000">
              <w:rPr>
                <w:rtl w:val="0"/>
              </w:rPr>
            </w:r>
          </w:p>
        </w:tc>
      </w:tr>
      <w:tr>
        <w:trPr>
          <w:cantSplit w:val="0"/>
          <w:tblHeader w:val="0"/>
        </w:trPr>
        <w:tc>
          <w:tcPr>
            <w:tcMar>
              <w:top w:w="40.0" w:type="dxa"/>
              <w:left w:w="60.0" w:type="dxa"/>
              <w:bottom w:w="40.0" w:type="dxa"/>
              <w:right w:w="60.0" w:type="dxa"/>
            </w:tcMar>
            <w:vAlign w:val="center"/>
          </w:tcPr>
          <w:p w:rsidR="00000000" w:rsidDel="00000000" w:rsidP="00000000" w:rsidRDefault="00000000" w:rsidRPr="00000000" w14:paraId="0000003E">
            <w:pPr>
              <w:spacing w:before="20" w:line="240" w:lineRule="auto"/>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Liver Disease</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3F">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11</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40">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24</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41">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47</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42">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90</w:t>
            </w:r>
            <w:r w:rsidDel="00000000" w:rsidR="00000000" w:rsidRPr="00000000">
              <w:rPr>
                <w:rtl w:val="0"/>
              </w:rPr>
            </w:r>
          </w:p>
        </w:tc>
      </w:tr>
      <w:tr>
        <w:trPr>
          <w:cantSplit w:val="0"/>
          <w:tblHeader w:val="0"/>
        </w:trPr>
        <w:tc>
          <w:tcPr>
            <w:tcMar>
              <w:top w:w="40.0" w:type="dxa"/>
              <w:left w:w="60.0" w:type="dxa"/>
              <w:bottom w:w="40.0" w:type="dxa"/>
              <w:right w:w="60.0" w:type="dxa"/>
            </w:tcMar>
            <w:vAlign w:val="center"/>
          </w:tcPr>
          <w:p w:rsidR="00000000" w:rsidDel="00000000" w:rsidP="00000000" w:rsidRDefault="00000000" w:rsidRPr="00000000" w14:paraId="00000043">
            <w:pPr>
              <w:spacing w:before="20" w:line="240" w:lineRule="auto"/>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Renal Failure</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44">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20</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45">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48</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46">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94</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47">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188</w:t>
            </w:r>
            <w:r w:rsidDel="00000000" w:rsidR="00000000" w:rsidRPr="00000000">
              <w:rPr>
                <w:rtl w:val="0"/>
              </w:rPr>
            </w:r>
          </w:p>
        </w:tc>
      </w:tr>
      <w:tr>
        <w:trPr>
          <w:cantSplit w:val="0"/>
          <w:tblHeader w:val="0"/>
        </w:trPr>
        <w:tc>
          <w:tcPr>
            <w:tcMar>
              <w:top w:w="40.0" w:type="dxa"/>
              <w:left w:w="60.0" w:type="dxa"/>
              <w:bottom w:w="40.0" w:type="dxa"/>
              <w:right w:w="60.0" w:type="dxa"/>
            </w:tcMar>
            <w:vAlign w:val="center"/>
          </w:tcPr>
          <w:p w:rsidR="00000000" w:rsidDel="00000000" w:rsidP="00000000" w:rsidRDefault="00000000" w:rsidRPr="00000000" w14:paraId="00000048">
            <w:pPr>
              <w:spacing w:before="20" w:line="240" w:lineRule="auto"/>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Open Fracture</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49">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7</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4A">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14</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4B">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25</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4C">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44</w:t>
            </w:r>
            <w:r w:rsidDel="00000000" w:rsidR="00000000" w:rsidRPr="00000000">
              <w:rPr>
                <w:rtl w:val="0"/>
              </w:rPr>
            </w:r>
          </w:p>
        </w:tc>
      </w:tr>
      <w:tr>
        <w:trPr>
          <w:cantSplit w:val="0"/>
          <w:tblHeader w:val="0"/>
        </w:trPr>
        <w:tc>
          <w:tcPr>
            <w:shd w:fill="f2f2f2" w:val="clear"/>
            <w:tcMar>
              <w:top w:w="40.0" w:type="dxa"/>
              <w:left w:w="60.0" w:type="dxa"/>
              <w:bottom w:w="40.0" w:type="dxa"/>
              <w:right w:w="60.0" w:type="dxa"/>
            </w:tcMar>
            <w:vAlign w:val="center"/>
          </w:tcPr>
          <w:p w:rsidR="00000000" w:rsidDel="00000000" w:rsidP="00000000" w:rsidRDefault="00000000" w:rsidRPr="00000000" w14:paraId="0000004D">
            <w:pPr>
              <w:spacing w:before="20" w:line="240" w:lineRule="auto"/>
              <w:rPr>
                <w:rFonts w:ascii="Calibri" w:cs="Calibri" w:eastAsia="Calibri" w:hAnsi="Calibri"/>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Isolated Medial Malleolus Ankle Fracture Repair</w:t>
            </w:r>
            <w:r w:rsidDel="00000000" w:rsidR="00000000" w:rsidRPr="00000000">
              <w:rPr>
                <w:rtl w:val="0"/>
              </w:rPr>
            </w:r>
          </w:p>
        </w:tc>
        <w:tc>
          <w:tcPr>
            <w:shd w:fill="f2f2f2" w:val="clear"/>
            <w:tcMar>
              <w:top w:w="40.0" w:type="dxa"/>
              <w:left w:w="60.0" w:type="dxa"/>
              <w:bottom w:w="40.0" w:type="dxa"/>
              <w:right w:w="60.0" w:type="dxa"/>
            </w:tcMar>
            <w:vAlign w:val="center"/>
          </w:tcPr>
          <w:p w:rsidR="00000000" w:rsidDel="00000000" w:rsidP="00000000" w:rsidRDefault="00000000" w:rsidRPr="00000000" w14:paraId="0000004E">
            <w:pPr>
              <w:spacing w:before="20" w:line="240" w:lineRule="auto"/>
              <w:jc w:val="center"/>
              <w:rPr>
                <w:rFonts w:ascii="Calibri" w:cs="Calibri" w:eastAsia="Calibri" w:hAnsi="Calibri"/>
                <w:sz w:val="16"/>
                <w:szCs w:val="16"/>
              </w:rPr>
            </w:pPr>
            <w:r w:rsidDel="00000000" w:rsidR="00000000" w:rsidRPr="00000000">
              <w:rPr>
                <w:rtl w:val="0"/>
              </w:rPr>
            </w:r>
          </w:p>
        </w:tc>
        <w:tc>
          <w:tcPr>
            <w:shd w:fill="f2f2f2" w:val="clear"/>
            <w:tcMar>
              <w:top w:w="40.0" w:type="dxa"/>
              <w:left w:w="60.0" w:type="dxa"/>
              <w:bottom w:w="40.0" w:type="dxa"/>
              <w:right w:w="60.0" w:type="dxa"/>
            </w:tcMar>
            <w:vAlign w:val="center"/>
          </w:tcPr>
          <w:p w:rsidR="00000000" w:rsidDel="00000000" w:rsidP="00000000" w:rsidRDefault="00000000" w:rsidRPr="00000000" w14:paraId="0000004F">
            <w:pPr>
              <w:spacing w:before="20" w:line="240" w:lineRule="auto"/>
              <w:jc w:val="center"/>
              <w:rPr>
                <w:rFonts w:ascii="Calibri" w:cs="Calibri" w:eastAsia="Calibri" w:hAnsi="Calibri"/>
                <w:sz w:val="16"/>
                <w:szCs w:val="16"/>
              </w:rPr>
            </w:pPr>
            <w:r w:rsidDel="00000000" w:rsidR="00000000" w:rsidRPr="00000000">
              <w:rPr>
                <w:rtl w:val="0"/>
              </w:rPr>
            </w:r>
          </w:p>
        </w:tc>
        <w:tc>
          <w:tcPr>
            <w:shd w:fill="f2f2f2" w:val="clear"/>
            <w:tcMar>
              <w:top w:w="40.0" w:type="dxa"/>
              <w:left w:w="60.0" w:type="dxa"/>
              <w:bottom w:w="40.0" w:type="dxa"/>
              <w:right w:w="60.0" w:type="dxa"/>
            </w:tcMar>
            <w:vAlign w:val="center"/>
          </w:tcPr>
          <w:p w:rsidR="00000000" w:rsidDel="00000000" w:rsidP="00000000" w:rsidRDefault="00000000" w:rsidRPr="00000000" w14:paraId="00000050">
            <w:pPr>
              <w:spacing w:before="20" w:line="240" w:lineRule="auto"/>
              <w:jc w:val="center"/>
              <w:rPr>
                <w:rFonts w:ascii="Calibri" w:cs="Calibri" w:eastAsia="Calibri" w:hAnsi="Calibri"/>
                <w:sz w:val="16"/>
                <w:szCs w:val="16"/>
              </w:rPr>
            </w:pPr>
            <w:r w:rsidDel="00000000" w:rsidR="00000000" w:rsidRPr="00000000">
              <w:rPr>
                <w:rtl w:val="0"/>
              </w:rPr>
            </w:r>
          </w:p>
        </w:tc>
        <w:tc>
          <w:tcPr>
            <w:shd w:fill="f2f2f2" w:val="clear"/>
            <w:tcMar>
              <w:top w:w="40.0" w:type="dxa"/>
              <w:left w:w="60.0" w:type="dxa"/>
              <w:bottom w:w="40.0" w:type="dxa"/>
              <w:right w:w="60.0" w:type="dxa"/>
            </w:tcMar>
            <w:vAlign w:val="center"/>
          </w:tcPr>
          <w:p w:rsidR="00000000" w:rsidDel="00000000" w:rsidP="00000000" w:rsidRDefault="00000000" w:rsidRPr="00000000" w14:paraId="00000051">
            <w:pPr>
              <w:spacing w:before="20" w:line="240" w:lineRule="auto"/>
              <w:jc w:val="center"/>
              <w:rPr>
                <w:rFonts w:ascii="Calibri" w:cs="Calibri" w:eastAsia="Calibri" w:hAnsi="Calibri"/>
                <w:sz w:val="16"/>
                <w:szCs w:val="16"/>
              </w:rPr>
            </w:pPr>
            <w:r w:rsidDel="00000000" w:rsidR="00000000" w:rsidRPr="00000000">
              <w:rPr>
                <w:rtl w:val="0"/>
              </w:rPr>
            </w:r>
          </w:p>
        </w:tc>
      </w:tr>
      <w:tr>
        <w:trPr>
          <w:cantSplit w:val="0"/>
          <w:tblHeader w:val="0"/>
        </w:trPr>
        <w:tc>
          <w:tcPr>
            <w:tcMar>
              <w:top w:w="40.0" w:type="dxa"/>
              <w:left w:w="60.0" w:type="dxa"/>
              <w:bottom w:w="40.0" w:type="dxa"/>
              <w:right w:w="60.0" w:type="dxa"/>
            </w:tcMar>
            <w:vAlign w:val="center"/>
          </w:tcPr>
          <w:p w:rsidR="00000000" w:rsidDel="00000000" w:rsidP="00000000" w:rsidRDefault="00000000" w:rsidRPr="00000000" w14:paraId="00000052">
            <w:pPr>
              <w:spacing w:before="20" w:line="240" w:lineRule="auto"/>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No Comorbidity</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53">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29</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54">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65</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55">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129</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56">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245</w:t>
            </w:r>
            <w:r w:rsidDel="00000000" w:rsidR="00000000" w:rsidRPr="00000000">
              <w:rPr>
                <w:rtl w:val="0"/>
              </w:rPr>
            </w:r>
          </w:p>
        </w:tc>
      </w:tr>
      <w:tr>
        <w:trPr>
          <w:cantSplit w:val="0"/>
          <w:tblHeader w:val="0"/>
        </w:trPr>
        <w:tc>
          <w:tcPr>
            <w:tcMar>
              <w:top w:w="40.0" w:type="dxa"/>
              <w:left w:w="60.0" w:type="dxa"/>
              <w:bottom w:w="40.0" w:type="dxa"/>
              <w:right w:w="60.0" w:type="dxa"/>
            </w:tcMar>
            <w:vAlign w:val="center"/>
          </w:tcPr>
          <w:p w:rsidR="00000000" w:rsidDel="00000000" w:rsidP="00000000" w:rsidRDefault="00000000" w:rsidRPr="00000000" w14:paraId="00000057">
            <w:pPr>
              <w:spacing w:before="20" w:line="240" w:lineRule="auto"/>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Diabetes</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58">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5</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59">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10</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5A">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19</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5B">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34</w:t>
            </w:r>
            <w:r w:rsidDel="00000000" w:rsidR="00000000" w:rsidRPr="00000000">
              <w:rPr>
                <w:rtl w:val="0"/>
              </w:rPr>
            </w:r>
          </w:p>
        </w:tc>
      </w:tr>
      <w:tr>
        <w:trPr>
          <w:cantSplit w:val="0"/>
          <w:tblHeader w:val="0"/>
        </w:trPr>
        <w:tc>
          <w:tcPr>
            <w:tcMar>
              <w:top w:w="40.0" w:type="dxa"/>
              <w:left w:w="60.0" w:type="dxa"/>
              <w:bottom w:w="40.0" w:type="dxa"/>
              <w:right w:w="60.0" w:type="dxa"/>
            </w:tcMar>
            <w:vAlign w:val="center"/>
          </w:tcPr>
          <w:p w:rsidR="00000000" w:rsidDel="00000000" w:rsidP="00000000" w:rsidRDefault="00000000" w:rsidRPr="00000000" w14:paraId="0000005C">
            <w:pPr>
              <w:spacing w:before="20" w:line="240" w:lineRule="auto"/>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Peripheral Vascular Disease</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5D">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6</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5E">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13</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5F">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23</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60">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43</w:t>
            </w:r>
            <w:r w:rsidDel="00000000" w:rsidR="00000000" w:rsidRPr="00000000">
              <w:rPr>
                <w:rtl w:val="0"/>
              </w:rPr>
            </w:r>
          </w:p>
        </w:tc>
      </w:tr>
      <w:tr>
        <w:trPr>
          <w:cantSplit w:val="0"/>
          <w:tblHeader w:val="0"/>
        </w:trPr>
        <w:tc>
          <w:tcPr>
            <w:tcMar>
              <w:top w:w="40.0" w:type="dxa"/>
              <w:left w:w="60.0" w:type="dxa"/>
              <w:bottom w:w="40.0" w:type="dxa"/>
              <w:right w:w="60.0" w:type="dxa"/>
            </w:tcMar>
            <w:vAlign w:val="center"/>
          </w:tcPr>
          <w:p w:rsidR="00000000" w:rsidDel="00000000" w:rsidP="00000000" w:rsidRDefault="00000000" w:rsidRPr="00000000" w14:paraId="00000061">
            <w:pPr>
              <w:spacing w:before="20" w:line="240" w:lineRule="auto"/>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Liver Disease</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62">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7</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63">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14</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64">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26</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65">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48</w:t>
            </w:r>
            <w:r w:rsidDel="00000000" w:rsidR="00000000" w:rsidRPr="00000000">
              <w:rPr>
                <w:rtl w:val="0"/>
              </w:rPr>
            </w:r>
          </w:p>
        </w:tc>
      </w:tr>
      <w:tr>
        <w:trPr>
          <w:cantSplit w:val="0"/>
          <w:tblHeader w:val="0"/>
        </w:trPr>
        <w:tc>
          <w:tcPr>
            <w:tcMar>
              <w:top w:w="40.0" w:type="dxa"/>
              <w:left w:w="60.0" w:type="dxa"/>
              <w:bottom w:w="40.0" w:type="dxa"/>
              <w:right w:w="60.0" w:type="dxa"/>
            </w:tcMar>
            <w:vAlign w:val="center"/>
          </w:tcPr>
          <w:p w:rsidR="00000000" w:rsidDel="00000000" w:rsidP="00000000" w:rsidRDefault="00000000" w:rsidRPr="00000000" w14:paraId="00000066">
            <w:pPr>
              <w:spacing w:before="20" w:line="240" w:lineRule="auto"/>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Renal Failure</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67">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12</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68">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28</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69">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53</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6A">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102</w:t>
            </w:r>
            <w:r w:rsidDel="00000000" w:rsidR="00000000" w:rsidRPr="00000000">
              <w:rPr>
                <w:rtl w:val="0"/>
              </w:rPr>
            </w:r>
          </w:p>
        </w:tc>
      </w:tr>
      <w:tr>
        <w:trPr>
          <w:cantSplit w:val="0"/>
          <w:tblHeader w:val="0"/>
        </w:trPr>
        <w:tc>
          <w:tcPr>
            <w:tcMar>
              <w:top w:w="40.0" w:type="dxa"/>
              <w:left w:w="60.0" w:type="dxa"/>
              <w:bottom w:w="40.0" w:type="dxa"/>
              <w:right w:w="60.0" w:type="dxa"/>
            </w:tcMar>
            <w:vAlign w:val="center"/>
          </w:tcPr>
          <w:p w:rsidR="00000000" w:rsidDel="00000000" w:rsidP="00000000" w:rsidRDefault="00000000" w:rsidRPr="00000000" w14:paraId="0000006B">
            <w:pPr>
              <w:spacing w:before="20" w:line="240" w:lineRule="auto"/>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Open Fracture</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6C">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8</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6D">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16</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6E">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29</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6F">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52</w:t>
            </w:r>
            <w:r w:rsidDel="00000000" w:rsidR="00000000" w:rsidRPr="00000000">
              <w:rPr>
                <w:rtl w:val="0"/>
              </w:rPr>
            </w:r>
          </w:p>
        </w:tc>
      </w:tr>
      <w:tr>
        <w:trPr>
          <w:cantSplit w:val="0"/>
          <w:tblHeader w:val="0"/>
        </w:trPr>
        <w:tc>
          <w:tcPr>
            <w:shd w:fill="f2f2f2" w:val="clear"/>
            <w:tcMar>
              <w:top w:w="40.0" w:type="dxa"/>
              <w:left w:w="60.0" w:type="dxa"/>
              <w:bottom w:w="40.0" w:type="dxa"/>
              <w:right w:w="60.0" w:type="dxa"/>
            </w:tcMar>
            <w:vAlign w:val="center"/>
          </w:tcPr>
          <w:p w:rsidR="00000000" w:rsidDel="00000000" w:rsidP="00000000" w:rsidRDefault="00000000" w:rsidRPr="00000000" w14:paraId="00000070">
            <w:pPr>
              <w:spacing w:before="20" w:line="240" w:lineRule="auto"/>
              <w:rPr>
                <w:rFonts w:ascii="Calibri" w:cs="Calibri" w:eastAsia="Calibri" w:hAnsi="Calibri"/>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Trimalleolar Ankle Fracture Repair</w:t>
            </w:r>
            <w:r w:rsidDel="00000000" w:rsidR="00000000" w:rsidRPr="00000000">
              <w:rPr>
                <w:rtl w:val="0"/>
              </w:rPr>
            </w:r>
          </w:p>
        </w:tc>
        <w:tc>
          <w:tcPr>
            <w:shd w:fill="f2f2f2" w:val="clear"/>
            <w:tcMar>
              <w:top w:w="40.0" w:type="dxa"/>
              <w:left w:w="60.0" w:type="dxa"/>
              <w:bottom w:w="40.0" w:type="dxa"/>
              <w:right w:w="60.0" w:type="dxa"/>
            </w:tcMar>
            <w:vAlign w:val="center"/>
          </w:tcPr>
          <w:p w:rsidR="00000000" w:rsidDel="00000000" w:rsidP="00000000" w:rsidRDefault="00000000" w:rsidRPr="00000000" w14:paraId="00000071">
            <w:pPr>
              <w:spacing w:before="20" w:line="240" w:lineRule="auto"/>
              <w:jc w:val="center"/>
              <w:rPr>
                <w:rFonts w:ascii="Calibri" w:cs="Calibri" w:eastAsia="Calibri" w:hAnsi="Calibri"/>
                <w:sz w:val="16"/>
                <w:szCs w:val="16"/>
              </w:rPr>
            </w:pPr>
            <w:r w:rsidDel="00000000" w:rsidR="00000000" w:rsidRPr="00000000">
              <w:rPr>
                <w:rtl w:val="0"/>
              </w:rPr>
            </w:r>
          </w:p>
        </w:tc>
        <w:tc>
          <w:tcPr>
            <w:shd w:fill="f2f2f2" w:val="clear"/>
            <w:tcMar>
              <w:top w:w="40.0" w:type="dxa"/>
              <w:left w:w="60.0" w:type="dxa"/>
              <w:bottom w:w="40.0" w:type="dxa"/>
              <w:right w:w="60.0" w:type="dxa"/>
            </w:tcMar>
            <w:vAlign w:val="center"/>
          </w:tcPr>
          <w:p w:rsidR="00000000" w:rsidDel="00000000" w:rsidP="00000000" w:rsidRDefault="00000000" w:rsidRPr="00000000" w14:paraId="00000072">
            <w:pPr>
              <w:spacing w:before="20" w:line="240" w:lineRule="auto"/>
              <w:jc w:val="center"/>
              <w:rPr>
                <w:rFonts w:ascii="Calibri" w:cs="Calibri" w:eastAsia="Calibri" w:hAnsi="Calibri"/>
                <w:sz w:val="16"/>
                <w:szCs w:val="16"/>
              </w:rPr>
            </w:pPr>
            <w:r w:rsidDel="00000000" w:rsidR="00000000" w:rsidRPr="00000000">
              <w:rPr>
                <w:rtl w:val="0"/>
              </w:rPr>
            </w:r>
          </w:p>
        </w:tc>
        <w:tc>
          <w:tcPr>
            <w:shd w:fill="f2f2f2" w:val="clear"/>
            <w:tcMar>
              <w:top w:w="40.0" w:type="dxa"/>
              <w:left w:w="60.0" w:type="dxa"/>
              <w:bottom w:w="40.0" w:type="dxa"/>
              <w:right w:w="60.0" w:type="dxa"/>
            </w:tcMar>
            <w:vAlign w:val="center"/>
          </w:tcPr>
          <w:p w:rsidR="00000000" w:rsidDel="00000000" w:rsidP="00000000" w:rsidRDefault="00000000" w:rsidRPr="00000000" w14:paraId="00000073">
            <w:pPr>
              <w:spacing w:before="20" w:line="240" w:lineRule="auto"/>
              <w:jc w:val="center"/>
              <w:rPr>
                <w:rFonts w:ascii="Calibri" w:cs="Calibri" w:eastAsia="Calibri" w:hAnsi="Calibri"/>
                <w:sz w:val="16"/>
                <w:szCs w:val="16"/>
              </w:rPr>
            </w:pPr>
            <w:r w:rsidDel="00000000" w:rsidR="00000000" w:rsidRPr="00000000">
              <w:rPr>
                <w:rtl w:val="0"/>
              </w:rPr>
            </w:r>
          </w:p>
        </w:tc>
        <w:tc>
          <w:tcPr>
            <w:shd w:fill="f2f2f2" w:val="clear"/>
            <w:tcMar>
              <w:top w:w="40.0" w:type="dxa"/>
              <w:left w:w="60.0" w:type="dxa"/>
              <w:bottom w:w="40.0" w:type="dxa"/>
              <w:right w:w="60.0" w:type="dxa"/>
            </w:tcMar>
            <w:vAlign w:val="center"/>
          </w:tcPr>
          <w:p w:rsidR="00000000" w:rsidDel="00000000" w:rsidP="00000000" w:rsidRDefault="00000000" w:rsidRPr="00000000" w14:paraId="00000074">
            <w:pPr>
              <w:spacing w:before="20" w:line="240" w:lineRule="auto"/>
              <w:jc w:val="center"/>
              <w:rPr>
                <w:rFonts w:ascii="Calibri" w:cs="Calibri" w:eastAsia="Calibri" w:hAnsi="Calibri"/>
                <w:sz w:val="16"/>
                <w:szCs w:val="16"/>
              </w:rPr>
            </w:pPr>
            <w:r w:rsidDel="00000000" w:rsidR="00000000" w:rsidRPr="00000000">
              <w:rPr>
                <w:rtl w:val="0"/>
              </w:rPr>
            </w:r>
          </w:p>
        </w:tc>
      </w:tr>
      <w:tr>
        <w:trPr>
          <w:cantSplit w:val="0"/>
          <w:tblHeader w:val="0"/>
        </w:trPr>
        <w:tc>
          <w:tcPr>
            <w:tcMar>
              <w:top w:w="40.0" w:type="dxa"/>
              <w:left w:w="60.0" w:type="dxa"/>
              <w:bottom w:w="40.0" w:type="dxa"/>
              <w:right w:w="60.0" w:type="dxa"/>
            </w:tcMar>
            <w:vAlign w:val="center"/>
          </w:tcPr>
          <w:p w:rsidR="00000000" w:rsidDel="00000000" w:rsidP="00000000" w:rsidRDefault="00000000" w:rsidRPr="00000000" w14:paraId="00000075">
            <w:pPr>
              <w:spacing w:before="20" w:line="240" w:lineRule="auto"/>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No Comorbidity</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76">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98</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77">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193</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78">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353</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79">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617</w:t>
            </w:r>
            <w:r w:rsidDel="00000000" w:rsidR="00000000" w:rsidRPr="00000000">
              <w:rPr>
                <w:rtl w:val="0"/>
              </w:rPr>
            </w:r>
          </w:p>
        </w:tc>
      </w:tr>
      <w:tr>
        <w:trPr>
          <w:cantSplit w:val="0"/>
          <w:tblHeader w:val="0"/>
        </w:trPr>
        <w:tc>
          <w:tcPr>
            <w:tcMar>
              <w:top w:w="40.0" w:type="dxa"/>
              <w:left w:w="60.0" w:type="dxa"/>
              <w:bottom w:w="40.0" w:type="dxa"/>
              <w:right w:w="60.0" w:type="dxa"/>
            </w:tcMar>
            <w:vAlign w:val="center"/>
          </w:tcPr>
          <w:p w:rsidR="00000000" w:rsidDel="00000000" w:rsidP="00000000" w:rsidRDefault="00000000" w:rsidRPr="00000000" w14:paraId="0000007A">
            <w:pPr>
              <w:spacing w:before="20" w:line="240" w:lineRule="auto"/>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Diabetes</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7B">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20</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7C">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39</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7D">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72</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7E">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129</w:t>
            </w:r>
            <w:r w:rsidDel="00000000" w:rsidR="00000000" w:rsidRPr="00000000">
              <w:rPr>
                <w:rtl w:val="0"/>
              </w:rPr>
            </w:r>
          </w:p>
        </w:tc>
      </w:tr>
      <w:tr>
        <w:trPr>
          <w:cantSplit w:val="0"/>
          <w:tblHeader w:val="0"/>
        </w:trPr>
        <w:tc>
          <w:tcPr>
            <w:tcMar>
              <w:top w:w="40.0" w:type="dxa"/>
              <w:left w:w="60.0" w:type="dxa"/>
              <w:bottom w:w="40.0" w:type="dxa"/>
              <w:right w:w="60.0" w:type="dxa"/>
            </w:tcMar>
            <w:vAlign w:val="center"/>
          </w:tcPr>
          <w:p w:rsidR="00000000" w:rsidDel="00000000" w:rsidP="00000000" w:rsidRDefault="00000000" w:rsidRPr="00000000" w14:paraId="0000007F">
            <w:pPr>
              <w:spacing w:before="20" w:line="240" w:lineRule="auto"/>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Peripheral Vascular Disease</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80">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29</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81">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59</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82">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106</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83">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188</w:t>
            </w:r>
            <w:r w:rsidDel="00000000" w:rsidR="00000000" w:rsidRPr="00000000">
              <w:rPr>
                <w:rtl w:val="0"/>
              </w:rPr>
            </w:r>
          </w:p>
        </w:tc>
      </w:tr>
      <w:tr>
        <w:trPr>
          <w:cantSplit w:val="0"/>
          <w:tblHeader w:val="0"/>
        </w:trPr>
        <w:tc>
          <w:tcPr>
            <w:tcMar>
              <w:top w:w="40.0" w:type="dxa"/>
              <w:left w:w="60.0" w:type="dxa"/>
              <w:bottom w:w="40.0" w:type="dxa"/>
              <w:right w:w="60.0" w:type="dxa"/>
            </w:tcMar>
            <w:vAlign w:val="center"/>
          </w:tcPr>
          <w:p w:rsidR="00000000" w:rsidDel="00000000" w:rsidP="00000000" w:rsidRDefault="00000000" w:rsidRPr="00000000" w14:paraId="00000084">
            <w:pPr>
              <w:spacing w:before="20" w:line="240" w:lineRule="auto"/>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Liver Disease</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85">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23</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86">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45</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87">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81</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88">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144</w:t>
            </w:r>
            <w:r w:rsidDel="00000000" w:rsidR="00000000" w:rsidRPr="00000000">
              <w:rPr>
                <w:rtl w:val="0"/>
              </w:rPr>
            </w:r>
          </w:p>
        </w:tc>
      </w:tr>
      <w:tr>
        <w:trPr>
          <w:cantSplit w:val="0"/>
          <w:tblHeader w:val="0"/>
        </w:trPr>
        <w:tc>
          <w:tcPr>
            <w:tcMar>
              <w:top w:w="40.0" w:type="dxa"/>
              <w:left w:w="60.0" w:type="dxa"/>
              <w:bottom w:w="40.0" w:type="dxa"/>
              <w:right w:w="60.0" w:type="dxa"/>
            </w:tcMar>
            <w:vAlign w:val="center"/>
          </w:tcPr>
          <w:p w:rsidR="00000000" w:rsidDel="00000000" w:rsidP="00000000" w:rsidRDefault="00000000" w:rsidRPr="00000000" w14:paraId="00000089">
            <w:pPr>
              <w:spacing w:before="20" w:line="240" w:lineRule="auto"/>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Renal Failure</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8A">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55</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8B">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118</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8C">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217</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8D">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398</w:t>
            </w:r>
            <w:r w:rsidDel="00000000" w:rsidR="00000000" w:rsidRPr="00000000">
              <w:rPr>
                <w:rtl w:val="0"/>
              </w:rPr>
            </w:r>
          </w:p>
        </w:tc>
      </w:tr>
      <w:tr>
        <w:trPr>
          <w:cantSplit w:val="0"/>
          <w:tblHeader w:val="0"/>
        </w:trPr>
        <w:tc>
          <w:tcPr>
            <w:tcMar>
              <w:top w:w="40.0" w:type="dxa"/>
              <w:left w:w="60.0" w:type="dxa"/>
              <w:bottom w:w="40.0" w:type="dxa"/>
              <w:right w:w="60.0" w:type="dxa"/>
            </w:tcMar>
            <w:vAlign w:val="center"/>
          </w:tcPr>
          <w:p w:rsidR="00000000" w:rsidDel="00000000" w:rsidP="00000000" w:rsidRDefault="00000000" w:rsidRPr="00000000" w14:paraId="0000008E">
            <w:pPr>
              <w:spacing w:before="20" w:line="240" w:lineRule="auto"/>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Open Fracture</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8F">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23</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90">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42</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91">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71</w:t>
            </w:r>
            <w:r w:rsidDel="00000000" w:rsidR="00000000" w:rsidRPr="00000000">
              <w:rPr>
                <w:rtl w:val="0"/>
              </w:rPr>
            </w:r>
          </w:p>
        </w:tc>
        <w:tc>
          <w:tcPr>
            <w:tcMar>
              <w:top w:w="40.0" w:type="dxa"/>
              <w:left w:w="60.0" w:type="dxa"/>
              <w:bottom w:w="40.0" w:type="dxa"/>
              <w:right w:w="60.0" w:type="dxa"/>
            </w:tcMar>
            <w:vAlign w:val="center"/>
          </w:tcPr>
          <w:p w:rsidR="00000000" w:rsidDel="00000000" w:rsidP="00000000" w:rsidRDefault="00000000" w:rsidRPr="00000000" w14:paraId="00000092">
            <w:pPr>
              <w:spacing w:before="20" w:line="240" w:lineRule="auto"/>
              <w:jc w:val="center"/>
              <w:rPr>
                <w:rFonts w:ascii="Calibri" w:cs="Calibri" w:eastAsia="Calibri" w:hAnsi="Calibri"/>
                <w:sz w:val="16"/>
                <w:szCs w:val="16"/>
              </w:rPr>
            </w:pPr>
            <w:r w:rsidDel="00000000" w:rsidR="00000000" w:rsidRPr="00000000">
              <w:rPr>
                <w:rFonts w:ascii="Times New Roman" w:cs="Times New Roman" w:eastAsia="Times New Roman" w:hAnsi="Times New Roman"/>
                <w:sz w:val="16"/>
                <w:szCs w:val="16"/>
                <w:rtl w:val="0"/>
              </w:rPr>
              <w:t xml:space="preserve">120</w:t>
            </w:r>
            <w:r w:rsidDel="00000000" w:rsidR="00000000" w:rsidRPr="00000000">
              <w:rPr>
                <w:rtl w:val="0"/>
              </w:rPr>
            </w:r>
          </w:p>
        </w:tc>
      </w:tr>
    </w:tbl>
    <w:p w:rsidR="00000000" w:rsidDel="00000000" w:rsidP="00000000" w:rsidRDefault="00000000" w:rsidRPr="00000000" w14:paraId="00000093">
      <w:pPr>
        <w:spacing w:after="120" w:before="20" w:line="240" w:lineRule="auto"/>
        <w:rPr>
          <w:rFonts w:ascii="Calibri" w:cs="Calibri" w:eastAsia="Calibri" w:hAnsi="Calibri"/>
          <w:i w:val="1"/>
          <w:iCs w:val="1"/>
          <w:sz w:val="16"/>
          <w:szCs w:val="16"/>
        </w:rPr>
      </w:pPr>
      <w:r w:rsidDel="00000000" w:rsidR="00000000" w:rsidRPr="00000000">
        <w:rPr>
          <w:rFonts w:ascii="Times New Roman" w:cs="Times New Roman" w:eastAsia="Times New Roman" w:hAnsi="Times New Roman"/>
          <w:i w:val="1"/>
          <w:iCs w:val="1"/>
          <w:sz w:val="16"/>
          <w:szCs w:val="16"/>
          <w:rtl w:val="0"/>
        </w:rPr>
        <w:t xml:space="preserve">Counts are cumulative deaths from any cause within each interval after the index fixation procedure, ascertained from the TriNetX vital-status flag. These are the competing events removed from the risk set in the Aalen–Johansen estimation reported in Tables 1–4. Comorbidity strata are not mutually exclusive and counts are not additive across columns within a fracture pattern.</w:t>
      </w:r>
      <w:r w:rsidDel="00000000" w:rsidR="00000000" w:rsidRPr="00000000">
        <w:rPr>
          <w:rtl w:val="0"/>
        </w:rPr>
      </w:r>
    </w:p>
    <w:p w:rsidR="00000000" w:rsidDel="00000000" w:rsidP="00000000" w:rsidRDefault="00000000" w:rsidRPr="00000000" w14:paraId="00000094">
      <w:pPr>
        <w:spacing w:line="240" w:lineRule="auto"/>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095">
      <w:pPr>
        <w:pageBreakBefore w:val="1"/>
        <w:spacing w:after="90" w:before="1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9"/>
          <w:szCs w:val="19"/>
          <w:rtl w:val="0"/>
        </w:rPr>
        <w:t xml:space="preserve">Supplementary Table 1. Diagnosis (ICD-10-CM) and procedure (CPT) codes used to define the fracture cohorts, comorbidity strata, and outcomes, with inclusion and exclusion criteria.</w:t>
      </w:r>
      <w:r w:rsidDel="00000000" w:rsidR="00000000" w:rsidRPr="00000000">
        <w:rPr>
          <w:rtl w:val="0"/>
        </w:rPr>
      </w:r>
    </w:p>
    <w:tbl>
      <w:tblPr>
        <w:tblStyle w:val="Table2"/>
        <w:tblW w:w="10800.0" w:type="dxa"/>
        <w:jc w:val="left"/>
        <w:tblBorders>
          <w:top w:color="bbbbbb" w:space="0" w:sz="4" w:val="single"/>
          <w:left w:color="000000" w:space="0" w:sz="0" w:val="nil"/>
          <w:bottom w:color="bbbbbb" w:space="0" w:sz="4" w:val="single"/>
          <w:right w:color="000000" w:space="0" w:sz="0" w:val="nil"/>
          <w:insideH w:color="bbbbbb" w:space="0" w:sz="4" w:val="single"/>
          <w:insideV w:color="000000" w:space="0" w:sz="0" w:val="nil"/>
        </w:tblBorders>
        <w:tblLayout w:type="fixed"/>
        <w:tblLook w:val="0000"/>
      </w:tblPr>
      <w:tblGrid>
        <w:gridCol w:w="2160"/>
        <w:gridCol w:w="2420"/>
        <w:gridCol w:w="2000"/>
        <w:gridCol w:w="2420"/>
        <w:gridCol w:w="1800"/>
        <w:tblGridChange w:id="0">
          <w:tblGrid>
            <w:gridCol w:w="2160"/>
            <w:gridCol w:w="2420"/>
            <w:gridCol w:w="2000"/>
            <w:gridCol w:w="2420"/>
            <w:gridCol w:w="1800"/>
          </w:tblGrid>
        </w:tblGridChange>
      </w:tblGrid>
      <w:tr>
        <w:trPr>
          <w:cantSplit w:val="0"/>
          <w:tblHeader w:val="0"/>
        </w:trPr>
        <w:tc>
          <w:tcPr>
            <w:shd w:fill="e8eef5" w:val="clear"/>
            <w:tcMar>
              <w:top w:w="26.0" w:type="dxa"/>
              <w:left w:w="60.0" w:type="dxa"/>
              <w:bottom w:w="26.0" w:type="dxa"/>
              <w:right w:w="60.0" w:type="dxa"/>
            </w:tcMar>
            <w:vAlign w:val="center"/>
          </w:tcPr>
          <w:p w:rsidR="00000000" w:rsidDel="00000000" w:rsidP="00000000" w:rsidRDefault="00000000" w:rsidRPr="00000000" w14:paraId="00000096">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5"/>
                <w:szCs w:val="15"/>
                <w:rtl w:val="0"/>
              </w:rPr>
              <w:t xml:space="preserve">Cohort / Variable</w:t>
            </w:r>
            <w:r w:rsidDel="00000000" w:rsidR="00000000" w:rsidRPr="00000000">
              <w:rPr>
                <w:rtl w:val="0"/>
              </w:rPr>
            </w:r>
          </w:p>
        </w:tc>
        <w:tc>
          <w:tcPr>
            <w:shd w:fill="e8eef5" w:val="clear"/>
            <w:tcMar>
              <w:top w:w="26.0" w:type="dxa"/>
              <w:left w:w="60.0" w:type="dxa"/>
              <w:bottom w:w="26.0" w:type="dxa"/>
              <w:right w:w="60.0" w:type="dxa"/>
            </w:tcMar>
            <w:vAlign w:val="center"/>
          </w:tcPr>
          <w:p w:rsidR="00000000" w:rsidDel="00000000" w:rsidP="00000000" w:rsidRDefault="00000000" w:rsidRPr="00000000" w14:paraId="00000097">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5"/>
                <w:szCs w:val="15"/>
                <w:rtl w:val="0"/>
              </w:rPr>
              <w:t xml:space="preserve">Diagnosis inclusion (ICD-10-CM)</w:t>
            </w:r>
            <w:r w:rsidDel="00000000" w:rsidR="00000000" w:rsidRPr="00000000">
              <w:rPr>
                <w:rtl w:val="0"/>
              </w:rPr>
            </w:r>
          </w:p>
        </w:tc>
        <w:tc>
          <w:tcPr>
            <w:shd w:fill="e8eef5" w:val="clear"/>
            <w:tcMar>
              <w:top w:w="26.0" w:type="dxa"/>
              <w:left w:w="60.0" w:type="dxa"/>
              <w:bottom w:w="26.0" w:type="dxa"/>
              <w:right w:w="60.0" w:type="dxa"/>
            </w:tcMar>
            <w:vAlign w:val="center"/>
          </w:tcPr>
          <w:p w:rsidR="00000000" w:rsidDel="00000000" w:rsidP="00000000" w:rsidRDefault="00000000" w:rsidRPr="00000000" w14:paraId="00000098">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5"/>
                <w:szCs w:val="15"/>
                <w:rtl w:val="0"/>
              </w:rPr>
              <w:t xml:space="preserve">Procedure inclusion (CPT)</w:t>
            </w:r>
            <w:r w:rsidDel="00000000" w:rsidR="00000000" w:rsidRPr="00000000">
              <w:rPr>
                <w:rtl w:val="0"/>
              </w:rPr>
            </w:r>
          </w:p>
        </w:tc>
        <w:tc>
          <w:tcPr>
            <w:shd w:fill="e8eef5" w:val="clear"/>
            <w:tcMar>
              <w:top w:w="26.0" w:type="dxa"/>
              <w:left w:w="60.0" w:type="dxa"/>
              <w:bottom w:w="26.0" w:type="dxa"/>
              <w:right w:w="60.0" w:type="dxa"/>
            </w:tcMar>
            <w:vAlign w:val="center"/>
          </w:tcPr>
          <w:p w:rsidR="00000000" w:rsidDel="00000000" w:rsidP="00000000" w:rsidRDefault="00000000" w:rsidRPr="00000000" w14:paraId="00000099">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5"/>
                <w:szCs w:val="15"/>
                <w:rtl w:val="0"/>
              </w:rPr>
              <w:t xml:space="preserve">Diagnosis exclusion</w:t>
            </w:r>
            <w:r w:rsidDel="00000000" w:rsidR="00000000" w:rsidRPr="00000000">
              <w:rPr>
                <w:rtl w:val="0"/>
              </w:rPr>
            </w:r>
          </w:p>
        </w:tc>
        <w:tc>
          <w:tcPr>
            <w:shd w:fill="e8eef5" w:val="clear"/>
            <w:tcMar>
              <w:top w:w="26.0" w:type="dxa"/>
              <w:left w:w="60.0" w:type="dxa"/>
              <w:bottom w:w="26.0" w:type="dxa"/>
              <w:right w:w="60.0" w:type="dxa"/>
            </w:tcMar>
            <w:vAlign w:val="center"/>
          </w:tcPr>
          <w:p w:rsidR="00000000" w:rsidDel="00000000" w:rsidP="00000000" w:rsidRDefault="00000000" w:rsidRPr="00000000" w14:paraId="0000009A">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5"/>
                <w:szCs w:val="15"/>
                <w:rtl w:val="0"/>
              </w:rPr>
              <w:t xml:space="preserve">Procedure exclusion</w:t>
            </w:r>
            <w:r w:rsidDel="00000000" w:rsidR="00000000" w:rsidRPr="00000000">
              <w:rPr>
                <w:rtl w:val="0"/>
              </w:rPr>
            </w:r>
          </w:p>
        </w:tc>
      </w:tr>
      <w:tr>
        <w:trPr>
          <w:cantSplit w:val="0"/>
          <w:tblHeader w:val="0"/>
        </w:trPr>
        <w:tc>
          <w:tcPr>
            <w:gridSpan w:val="5"/>
            <w:shd w:fill="f3f6fa" w:val="clear"/>
            <w:tcMar>
              <w:top w:w="26.0" w:type="dxa"/>
              <w:left w:w="60.0" w:type="dxa"/>
              <w:bottom w:w="26.0" w:type="dxa"/>
              <w:right w:w="60.0" w:type="dxa"/>
            </w:tcMar>
            <w:vAlign w:val="center"/>
          </w:tcPr>
          <w:p w:rsidR="00000000" w:rsidDel="00000000" w:rsidP="00000000" w:rsidRDefault="00000000" w:rsidRPr="00000000" w14:paraId="0000009B">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5"/>
                <w:szCs w:val="15"/>
                <w:rtl w:val="0"/>
              </w:rPr>
              <w:t xml:space="preserve">Fracture cohorts (fracture diagnosis AND operative fixation; both required)</w:t>
            </w:r>
            <w:r w:rsidDel="00000000" w:rsidR="00000000" w:rsidRPr="00000000">
              <w:rPr>
                <w:rtl w:val="0"/>
              </w:rPr>
            </w:r>
          </w:p>
        </w:tc>
      </w:tr>
      <w:tr>
        <w:trPr>
          <w:cantSplit w:val="0"/>
          <w:tblHeader w:val="0"/>
        </w:trPr>
        <w:tc>
          <w:tcPr>
            <w:tcMar>
              <w:top w:w="26.0" w:type="dxa"/>
              <w:left w:w="60.0" w:type="dxa"/>
              <w:bottom w:w="26.0" w:type="dxa"/>
              <w:right w:w="60.0" w:type="dxa"/>
            </w:tcMar>
            <w:vAlign w:val="center"/>
          </w:tcPr>
          <w:p w:rsidR="00000000" w:rsidDel="00000000" w:rsidP="00000000" w:rsidRDefault="00000000" w:rsidRPr="00000000" w14:paraId="000000A0">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Isolated lateral malleolus ORIF</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A1">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S82.6-</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A2">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27792</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A3">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S82.5-, S82.84-, S82.85-, S82.86-, S82.87-, S82.3-</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A4">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27766, 27769, 27814, 27822, 27823, 27829</w:t>
            </w:r>
            <w:r w:rsidDel="00000000" w:rsidR="00000000" w:rsidRPr="00000000">
              <w:rPr>
                <w:rtl w:val="0"/>
              </w:rPr>
            </w:r>
          </w:p>
        </w:tc>
      </w:tr>
      <w:tr>
        <w:trPr>
          <w:cantSplit w:val="0"/>
          <w:tblHeader w:val="0"/>
        </w:trPr>
        <w:tc>
          <w:tcPr>
            <w:tcMar>
              <w:top w:w="26.0" w:type="dxa"/>
              <w:left w:w="60.0" w:type="dxa"/>
              <w:bottom w:w="26.0" w:type="dxa"/>
              <w:right w:w="60.0" w:type="dxa"/>
            </w:tcMar>
            <w:vAlign w:val="center"/>
          </w:tcPr>
          <w:p w:rsidR="00000000" w:rsidDel="00000000" w:rsidP="00000000" w:rsidRDefault="00000000" w:rsidRPr="00000000" w14:paraId="000000A5">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Isolated medial malleolus ORIF</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A6">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S82.5-</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A7">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27766</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A8">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S82.6-, S82.84-, S82.85-, S82.86-, S82.87-, S82.4-</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A9">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27792, 27769, 27814, 27822, 27823, 27829</w:t>
            </w:r>
            <w:r w:rsidDel="00000000" w:rsidR="00000000" w:rsidRPr="00000000">
              <w:rPr>
                <w:rtl w:val="0"/>
              </w:rPr>
            </w:r>
          </w:p>
        </w:tc>
      </w:tr>
      <w:tr>
        <w:trPr>
          <w:cantSplit w:val="0"/>
          <w:tblHeader w:val="0"/>
        </w:trPr>
        <w:tc>
          <w:tcPr>
            <w:tcMar>
              <w:top w:w="26.0" w:type="dxa"/>
              <w:left w:w="60.0" w:type="dxa"/>
              <w:bottom w:w="26.0" w:type="dxa"/>
              <w:right w:w="60.0" w:type="dxa"/>
            </w:tcMar>
            <w:vAlign w:val="center"/>
          </w:tcPr>
          <w:p w:rsidR="00000000" w:rsidDel="00000000" w:rsidP="00000000" w:rsidRDefault="00000000" w:rsidRPr="00000000" w14:paraId="000000AA">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Bimalleolar ORIF</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AB">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S82.84-</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AC">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27814</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AD">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S82.85-, S82.87-</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AE">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27769, 27822, 27823</w:t>
            </w:r>
            <w:r w:rsidDel="00000000" w:rsidR="00000000" w:rsidRPr="00000000">
              <w:rPr>
                <w:rtl w:val="0"/>
              </w:rPr>
            </w:r>
          </w:p>
        </w:tc>
      </w:tr>
      <w:tr>
        <w:trPr>
          <w:cantSplit w:val="0"/>
          <w:tblHeader w:val="0"/>
        </w:trPr>
        <w:tc>
          <w:tcPr>
            <w:tcMar>
              <w:top w:w="26.0" w:type="dxa"/>
              <w:left w:w="60.0" w:type="dxa"/>
              <w:bottom w:w="26.0" w:type="dxa"/>
              <w:right w:w="60.0" w:type="dxa"/>
            </w:tcMar>
            <w:vAlign w:val="center"/>
          </w:tcPr>
          <w:p w:rsidR="00000000" w:rsidDel="00000000" w:rsidP="00000000" w:rsidRDefault="00000000" w:rsidRPr="00000000" w14:paraId="000000AF">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Trimalleolar ORIF</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B0">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S82.85-</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B1">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27822 or 27823</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B2">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S82.87-</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B3">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27769, 27814</w:t>
            </w:r>
            <w:r w:rsidDel="00000000" w:rsidR="00000000" w:rsidRPr="00000000">
              <w:rPr>
                <w:rtl w:val="0"/>
              </w:rPr>
            </w:r>
          </w:p>
        </w:tc>
      </w:tr>
      <w:tr>
        <w:trPr>
          <w:cantSplit w:val="0"/>
          <w:tblHeader w:val="0"/>
        </w:trPr>
        <w:tc>
          <w:tcPr>
            <w:tcMar>
              <w:top w:w="26.0" w:type="dxa"/>
              <w:left w:w="60.0" w:type="dxa"/>
              <w:bottom w:w="26.0" w:type="dxa"/>
              <w:right w:w="60.0" w:type="dxa"/>
            </w:tcMar>
            <w:vAlign w:val="center"/>
          </w:tcPr>
          <w:p w:rsidR="00000000" w:rsidDel="00000000" w:rsidP="00000000" w:rsidRDefault="00000000" w:rsidRPr="00000000" w14:paraId="000000B4">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Open fracture (stratum within each pattern)</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B5">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Parent-cohort S82 code with 7th character B or C</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B6">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Parent-cohort fixation CPT</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B7">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Same as parent</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B8">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Same as parent</w:t>
            </w:r>
            <w:r w:rsidDel="00000000" w:rsidR="00000000" w:rsidRPr="00000000">
              <w:rPr>
                <w:rtl w:val="0"/>
              </w:rPr>
            </w:r>
          </w:p>
        </w:tc>
      </w:tr>
      <w:tr>
        <w:trPr>
          <w:cantSplit w:val="0"/>
          <w:tblHeader w:val="0"/>
        </w:trPr>
        <w:tc>
          <w:tcPr>
            <w:gridSpan w:val="5"/>
            <w:shd w:fill="f3f6fa" w:val="clear"/>
            <w:tcMar>
              <w:top w:w="26.0" w:type="dxa"/>
              <w:left w:w="60.0" w:type="dxa"/>
              <w:bottom w:w="26.0" w:type="dxa"/>
              <w:right w:w="60.0" w:type="dxa"/>
            </w:tcMar>
            <w:vAlign w:val="center"/>
          </w:tcPr>
          <w:p w:rsidR="00000000" w:rsidDel="00000000" w:rsidP="00000000" w:rsidRDefault="00000000" w:rsidRPr="00000000" w14:paraId="000000B9">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5"/>
                <w:szCs w:val="15"/>
                <w:rtl w:val="0"/>
              </w:rPr>
              <w:t xml:space="preserve">Comorbidity strata</w:t>
            </w:r>
            <w:r w:rsidDel="00000000" w:rsidR="00000000" w:rsidRPr="00000000">
              <w:rPr>
                <w:rtl w:val="0"/>
              </w:rPr>
            </w:r>
          </w:p>
        </w:tc>
      </w:tr>
      <w:tr>
        <w:trPr>
          <w:cantSplit w:val="0"/>
          <w:tblHeader w:val="0"/>
        </w:trPr>
        <w:tc>
          <w:tcPr>
            <w:tcMar>
              <w:top w:w="26.0" w:type="dxa"/>
              <w:left w:w="60.0" w:type="dxa"/>
              <w:bottom w:w="26.0" w:type="dxa"/>
              <w:right w:w="60.0" w:type="dxa"/>
            </w:tcMar>
            <w:vAlign w:val="center"/>
          </w:tcPr>
          <w:p w:rsidR="00000000" w:rsidDel="00000000" w:rsidP="00000000" w:rsidRDefault="00000000" w:rsidRPr="00000000" w14:paraId="000000BE">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Diabetes mellitus</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BF">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E10.-, E11.-, E13.-</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C0">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C1">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C2">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w:t>
            </w:r>
            <w:r w:rsidDel="00000000" w:rsidR="00000000" w:rsidRPr="00000000">
              <w:rPr>
                <w:rtl w:val="0"/>
              </w:rPr>
            </w:r>
          </w:p>
        </w:tc>
      </w:tr>
      <w:tr>
        <w:trPr>
          <w:cantSplit w:val="0"/>
          <w:tblHeader w:val="0"/>
        </w:trPr>
        <w:tc>
          <w:tcPr>
            <w:tcMar>
              <w:top w:w="26.0" w:type="dxa"/>
              <w:left w:w="60.0" w:type="dxa"/>
              <w:bottom w:w="26.0" w:type="dxa"/>
              <w:right w:w="60.0" w:type="dxa"/>
            </w:tcMar>
            <w:vAlign w:val="center"/>
          </w:tcPr>
          <w:p w:rsidR="00000000" w:rsidDel="00000000" w:rsidP="00000000" w:rsidRDefault="00000000" w:rsidRPr="00000000" w14:paraId="000000C3">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Peripheral arterial disease</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C4">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I70.2-, I70.3-, I70.4-, I70.5-, I70.6-, I70.7-, I73.1, I73.9</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C5">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C6">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C7">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w:t>
            </w:r>
            <w:r w:rsidDel="00000000" w:rsidR="00000000" w:rsidRPr="00000000">
              <w:rPr>
                <w:rtl w:val="0"/>
              </w:rPr>
            </w:r>
          </w:p>
        </w:tc>
      </w:tr>
      <w:tr>
        <w:trPr>
          <w:cantSplit w:val="0"/>
          <w:tblHeader w:val="0"/>
        </w:trPr>
        <w:tc>
          <w:tcPr>
            <w:tcMar>
              <w:top w:w="26.0" w:type="dxa"/>
              <w:left w:w="60.0" w:type="dxa"/>
              <w:bottom w:w="26.0" w:type="dxa"/>
              <w:right w:w="60.0" w:type="dxa"/>
            </w:tcMar>
            <w:vAlign w:val="center"/>
          </w:tcPr>
          <w:p w:rsidR="00000000" w:rsidDel="00000000" w:rsidP="00000000" w:rsidRDefault="00000000" w:rsidRPr="00000000" w14:paraId="000000C8">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Chronic kidney disease</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C9">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N18.1–N18.5, N18.6, Z99.2</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CA">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CB">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CC">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w:t>
            </w:r>
            <w:r w:rsidDel="00000000" w:rsidR="00000000" w:rsidRPr="00000000">
              <w:rPr>
                <w:rtl w:val="0"/>
              </w:rPr>
            </w:r>
          </w:p>
        </w:tc>
      </w:tr>
      <w:tr>
        <w:trPr>
          <w:cantSplit w:val="0"/>
          <w:tblHeader w:val="0"/>
        </w:trPr>
        <w:tc>
          <w:tcPr>
            <w:tcMar>
              <w:top w:w="26.0" w:type="dxa"/>
              <w:left w:w="60.0" w:type="dxa"/>
              <w:bottom w:w="26.0" w:type="dxa"/>
              <w:right w:w="60.0" w:type="dxa"/>
            </w:tcMar>
            <w:vAlign w:val="center"/>
          </w:tcPr>
          <w:p w:rsidR="00000000" w:rsidDel="00000000" w:rsidP="00000000" w:rsidRDefault="00000000" w:rsidRPr="00000000" w14:paraId="000000CD">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Chronic liver disease</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CE">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K70.3, K70.4, K71.7, K72.-, K74.-, K76.6, K76.7, I85.-</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CF">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D0">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D1">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w:t>
            </w:r>
            <w:r w:rsidDel="00000000" w:rsidR="00000000" w:rsidRPr="00000000">
              <w:rPr>
                <w:rtl w:val="0"/>
              </w:rPr>
            </w:r>
          </w:p>
        </w:tc>
      </w:tr>
      <w:tr>
        <w:trPr>
          <w:cantSplit w:val="0"/>
          <w:tblHeader w:val="0"/>
        </w:trPr>
        <w:tc>
          <w:tcPr>
            <w:gridSpan w:val="5"/>
            <w:shd w:fill="f3f6fa" w:val="clear"/>
            <w:tcMar>
              <w:top w:w="26.0" w:type="dxa"/>
              <w:left w:w="60.0" w:type="dxa"/>
              <w:bottom w:w="26.0" w:type="dxa"/>
              <w:right w:w="60.0" w:type="dxa"/>
            </w:tcMar>
            <w:vAlign w:val="center"/>
          </w:tcPr>
          <w:p w:rsidR="00000000" w:rsidDel="00000000" w:rsidP="00000000" w:rsidRDefault="00000000" w:rsidRPr="00000000" w14:paraId="000000D2">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5"/>
                <w:szCs w:val="15"/>
                <w:rtl w:val="0"/>
              </w:rPr>
              <w:t xml:space="preserve">Outcomes (ascertained in the post-index window)</w:t>
            </w:r>
            <w:r w:rsidDel="00000000" w:rsidR="00000000" w:rsidRPr="00000000">
              <w:rPr>
                <w:rtl w:val="0"/>
              </w:rPr>
            </w:r>
          </w:p>
        </w:tc>
      </w:tr>
      <w:tr>
        <w:trPr>
          <w:cantSplit w:val="0"/>
          <w:tblHeader w:val="0"/>
        </w:trPr>
        <w:tc>
          <w:tcPr>
            <w:tcMar>
              <w:top w:w="26.0" w:type="dxa"/>
              <w:left w:w="60.0" w:type="dxa"/>
              <w:bottom w:w="26.0" w:type="dxa"/>
              <w:right w:w="60.0" w:type="dxa"/>
            </w:tcMar>
            <w:vAlign w:val="center"/>
          </w:tcPr>
          <w:p w:rsidR="00000000" w:rsidDel="00000000" w:rsidP="00000000" w:rsidRDefault="00000000" w:rsidRPr="00000000" w14:paraId="000000D7">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Postoperative infection (90 d)</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D8">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T81.40–T81.49, T84.6-, T84.7-, M86.-7</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D9">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DA">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DB">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w:t>
            </w:r>
            <w:r w:rsidDel="00000000" w:rsidR="00000000" w:rsidRPr="00000000">
              <w:rPr>
                <w:rtl w:val="0"/>
              </w:rPr>
            </w:r>
          </w:p>
        </w:tc>
      </w:tr>
      <w:tr>
        <w:trPr>
          <w:cantSplit w:val="0"/>
          <w:tblHeader w:val="0"/>
        </w:trPr>
        <w:tc>
          <w:tcPr>
            <w:tcMar>
              <w:top w:w="26.0" w:type="dxa"/>
              <w:left w:w="60.0" w:type="dxa"/>
              <w:bottom w:w="26.0" w:type="dxa"/>
              <w:right w:w="60.0" w:type="dxa"/>
            </w:tcMar>
            <w:vAlign w:val="center"/>
          </w:tcPr>
          <w:p w:rsidR="00000000" w:rsidDel="00000000" w:rsidP="00000000" w:rsidRDefault="00000000" w:rsidRPr="00000000" w14:paraId="000000DC">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Venous thromboembolism (90 d)</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DD">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I82.4-, I80.2-, I26.-</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DE">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DF">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E0">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w:t>
            </w:r>
            <w:r w:rsidDel="00000000" w:rsidR="00000000" w:rsidRPr="00000000">
              <w:rPr>
                <w:rtl w:val="0"/>
              </w:rPr>
            </w:r>
          </w:p>
        </w:tc>
      </w:tr>
      <w:tr>
        <w:trPr>
          <w:cantSplit w:val="0"/>
          <w:tblHeader w:val="0"/>
        </w:trPr>
        <w:tc>
          <w:tcPr>
            <w:tcMar>
              <w:top w:w="26.0" w:type="dxa"/>
              <w:left w:w="60.0" w:type="dxa"/>
              <w:bottom w:w="26.0" w:type="dxa"/>
              <w:right w:w="60.0" w:type="dxa"/>
            </w:tcMar>
            <w:vAlign w:val="center"/>
          </w:tcPr>
          <w:p w:rsidR="00000000" w:rsidDel="00000000" w:rsidP="00000000" w:rsidRDefault="00000000" w:rsidRPr="00000000" w14:paraId="000000E1">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Clinically attended post-traumatic arthritis</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E2">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M19.17-, M19.27-, M12.57-</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E3">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E4">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E5">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w:t>
            </w:r>
            <w:r w:rsidDel="00000000" w:rsidR="00000000" w:rsidRPr="00000000">
              <w:rPr>
                <w:rtl w:val="0"/>
              </w:rPr>
            </w:r>
          </w:p>
        </w:tc>
      </w:tr>
      <w:tr>
        <w:trPr>
          <w:cantSplit w:val="0"/>
          <w:tblHeader w:val="0"/>
        </w:trPr>
        <w:tc>
          <w:tcPr>
            <w:tcMar>
              <w:top w:w="26.0" w:type="dxa"/>
              <w:left w:w="60.0" w:type="dxa"/>
              <w:bottom w:w="26.0" w:type="dxa"/>
              <w:right w:w="60.0" w:type="dxa"/>
            </w:tcMar>
            <w:vAlign w:val="center"/>
          </w:tcPr>
          <w:p w:rsidR="00000000" w:rsidDel="00000000" w:rsidP="00000000" w:rsidRDefault="00000000" w:rsidRPr="00000000" w14:paraId="000000E6">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Nonunion</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E7">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S82.- with 7th character K</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E8">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E9">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EA">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w:t>
            </w:r>
            <w:r w:rsidDel="00000000" w:rsidR="00000000" w:rsidRPr="00000000">
              <w:rPr>
                <w:rtl w:val="0"/>
              </w:rPr>
            </w:r>
          </w:p>
        </w:tc>
      </w:tr>
      <w:tr>
        <w:trPr>
          <w:cantSplit w:val="0"/>
          <w:tblHeader w:val="0"/>
        </w:trPr>
        <w:tc>
          <w:tcPr>
            <w:tcMar>
              <w:top w:w="26.0" w:type="dxa"/>
              <w:left w:w="60.0" w:type="dxa"/>
              <w:bottom w:w="26.0" w:type="dxa"/>
              <w:right w:w="60.0" w:type="dxa"/>
            </w:tcMar>
            <w:vAlign w:val="center"/>
          </w:tcPr>
          <w:p w:rsidR="00000000" w:rsidDel="00000000" w:rsidP="00000000" w:rsidRDefault="00000000" w:rsidRPr="00000000" w14:paraId="000000EB">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Malunion</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EC">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S82.- with 7th character P</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ED">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EE">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EF">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w:t>
            </w:r>
            <w:r w:rsidDel="00000000" w:rsidR="00000000" w:rsidRPr="00000000">
              <w:rPr>
                <w:rtl w:val="0"/>
              </w:rPr>
            </w:r>
          </w:p>
        </w:tc>
      </w:tr>
      <w:tr>
        <w:trPr>
          <w:cantSplit w:val="0"/>
          <w:tblHeader w:val="0"/>
        </w:trPr>
        <w:tc>
          <w:tcPr>
            <w:tcMar>
              <w:top w:w="26.0" w:type="dxa"/>
              <w:left w:w="60.0" w:type="dxa"/>
              <w:bottom w:w="26.0" w:type="dxa"/>
              <w:right w:w="60.0" w:type="dxa"/>
            </w:tcMar>
            <w:vAlign w:val="center"/>
          </w:tcPr>
          <w:p w:rsidR="00000000" w:rsidDel="00000000" w:rsidP="00000000" w:rsidRDefault="00000000" w:rsidRPr="00000000" w14:paraId="000000F0">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Reoperation for nonunion/malunion (secondary procedural marker)</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F1">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F2">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27720, 27722, 27724, 27726</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F3">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F4">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w:t>
            </w:r>
            <w:r w:rsidDel="00000000" w:rsidR="00000000" w:rsidRPr="00000000">
              <w:rPr>
                <w:rtl w:val="0"/>
              </w:rPr>
            </w:r>
          </w:p>
        </w:tc>
      </w:tr>
      <w:tr>
        <w:trPr>
          <w:cantSplit w:val="0"/>
          <w:tblHeader w:val="0"/>
        </w:trPr>
        <w:tc>
          <w:tcPr>
            <w:tcMar>
              <w:top w:w="26.0" w:type="dxa"/>
              <w:left w:w="60.0" w:type="dxa"/>
              <w:bottom w:w="26.0" w:type="dxa"/>
              <w:right w:w="60.0" w:type="dxa"/>
            </w:tcMar>
            <w:vAlign w:val="center"/>
          </w:tcPr>
          <w:p w:rsidR="00000000" w:rsidDel="00000000" w:rsidP="00000000" w:rsidRDefault="00000000" w:rsidRPr="00000000" w14:paraId="000000F5">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Conversion to arthrodesis/arthroplasty</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F6">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F7">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27870, 27702, 27703, 29899, 28705</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F8">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F9">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w:t>
            </w:r>
            <w:r w:rsidDel="00000000" w:rsidR="00000000" w:rsidRPr="00000000">
              <w:rPr>
                <w:rtl w:val="0"/>
              </w:rPr>
            </w:r>
          </w:p>
        </w:tc>
      </w:tr>
      <w:tr>
        <w:trPr>
          <w:cantSplit w:val="0"/>
          <w:tblHeader w:val="0"/>
        </w:trPr>
        <w:tc>
          <w:tcPr>
            <w:tcMar>
              <w:top w:w="26.0" w:type="dxa"/>
              <w:left w:w="60.0" w:type="dxa"/>
              <w:bottom w:w="26.0" w:type="dxa"/>
              <w:right w:w="60.0" w:type="dxa"/>
            </w:tcMar>
            <w:vAlign w:val="center"/>
          </w:tcPr>
          <w:p w:rsidR="00000000" w:rsidDel="00000000" w:rsidP="00000000" w:rsidRDefault="00000000" w:rsidRPr="00000000" w14:paraId="000000FA">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Hardware removal</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FB">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Z47.2</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FC">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20680, 27704</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FD">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w:t>
            </w:r>
            <w:r w:rsidDel="00000000" w:rsidR="00000000" w:rsidRPr="00000000">
              <w:rPr>
                <w:rtl w:val="0"/>
              </w:rPr>
            </w:r>
          </w:p>
        </w:tc>
        <w:tc>
          <w:tcPr>
            <w:tcMar>
              <w:top w:w="26.0" w:type="dxa"/>
              <w:left w:w="60.0" w:type="dxa"/>
              <w:bottom w:w="26.0" w:type="dxa"/>
              <w:right w:w="60.0" w:type="dxa"/>
            </w:tcMar>
            <w:vAlign w:val="center"/>
          </w:tcPr>
          <w:p w:rsidR="00000000" w:rsidDel="00000000" w:rsidP="00000000" w:rsidRDefault="00000000" w:rsidRPr="00000000" w14:paraId="000000FE">
            <w:pPr>
              <w:spacing w:line="20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5"/>
                <w:szCs w:val="15"/>
                <w:rtl w:val="0"/>
              </w:rPr>
              <w:t xml:space="preserve">—</w:t>
            </w:r>
            <w:r w:rsidDel="00000000" w:rsidR="00000000" w:rsidRPr="00000000">
              <w:rPr>
                <w:rtl w:val="0"/>
              </w:rPr>
            </w:r>
          </w:p>
        </w:tc>
      </w:tr>
    </w:tbl>
    <w:p w:rsidR="00000000" w:rsidDel="00000000" w:rsidP="00000000" w:rsidRDefault="00000000" w:rsidRPr="00000000" w14:paraId="000000FF">
      <w:pPr>
        <w:spacing w:after="200" w:before="60" w:line="2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6"/>
          <w:szCs w:val="16"/>
          <w:rtl w:val="0"/>
        </w:rPr>
        <w:t xml:space="preserve">Codes are transcribed from the TriNetX cohort and analysis definitions. A trailing hyphen denotes all children of that code. — indicates that no codes of that type were applied. All-cause mortality at 90 days is captured by the TriNetX vital-status (deceased) flag.</w:t>
      </w:r>
      <w:r w:rsidDel="00000000" w:rsidR="00000000" w:rsidRPr="00000000">
        <w:rPr>
          <w:rtl w:val="0"/>
        </w:rPr>
      </w:r>
    </w:p>
    <w:p w:rsidR="00000000" w:rsidDel="00000000" w:rsidP="00000000" w:rsidRDefault="00000000" w:rsidRPr="00000000" w14:paraId="00000100">
      <w:pPr>
        <w:pageBreakBefore w:val="1"/>
        <w:spacing w:after="90" w:before="1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9"/>
          <w:szCs w:val="19"/>
          <w:rtl w:val="0"/>
        </w:rPr>
        <w:t xml:space="preserve">Supplementary Table 2. Baseline demographic characteristics of the no-comorbidity reference group, by ankle fracture pattern.</w:t>
      </w:r>
      <w:r w:rsidDel="00000000" w:rsidR="00000000" w:rsidRPr="00000000">
        <w:rPr>
          <w:rtl w:val="0"/>
        </w:rPr>
      </w:r>
    </w:p>
    <w:tbl>
      <w:tblPr>
        <w:tblStyle w:val="Table3"/>
        <w:tblW w:w="10820.0" w:type="dxa"/>
        <w:jc w:val="left"/>
        <w:tblBorders>
          <w:top w:color="bbbbbb" w:space="0" w:sz="4" w:val="single"/>
          <w:left w:color="000000" w:space="0" w:sz="0" w:val="nil"/>
          <w:bottom w:color="bbbbbb" w:space="0" w:sz="4" w:val="single"/>
          <w:right w:color="000000" w:space="0" w:sz="0" w:val="nil"/>
          <w:insideH w:color="bbbbbb" w:space="0" w:sz="4" w:val="single"/>
          <w:insideV w:color="000000" w:space="0" w:sz="0" w:val="nil"/>
        </w:tblBorders>
        <w:tblLayout w:type="fixed"/>
        <w:tblLook w:val="0000"/>
      </w:tblPr>
      <w:tblGrid>
        <w:gridCol w:w="3460"/>
        <w:gridCol w:w="1840"/>
        <w:gridCol w:w="1840"/>
        <w:gridCol w:w="1840"/>
        <w:gridCol w:w="1840"/>
        <w:tblGridChange w:id="0">
          <w:tblGrid>
            <w:gridCol w:w="3460"/>
            <w:gridCol w:w="1840"/>
            <w:gridCol w:w="1840"/>
            <w:gridCol w:w="1840"/>
            <w:gridCol w:w="1840"/>
          </w:tblGrid>
        </w:tblGridChange>
      </w:tblGrid>
      <w:tr>
        <w:trPr>
          <w:cantSplit w:val="0"/>
          <w:tblHeader w:val="1"/>
        </w:trPr>
        <w:tc>
          <w:tcPr>
            <w:shd w:fill="e8eef5" w:val="clear"/>
            <w:tcMar>
              <w:top w:w="24.0" w:type="dxa"/>
              <w:left w:w="60.0" w:type="dxa"/>
              <w:bottom w:w="24.0" w:type="dxa"/>
              <w:right w:w="60.0" w:type="dxa"/>
            </w:tcMar>
            <w:vAlign w:val="center"/>
          </w:tcPr>
          <w:p w:rsidR="00000000" w:rsidDel="00000000" w:rsidP="00000000" w:rsidRDefault="00000000" w:rsidRPr="00000000" w14:paraId="00000101">
            <w:pPr>
              <w:spacing w:line="21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8"/>
                <w:szCs w:val="18"/>
                <w:rtl w:val="0"/>
              </w:rPr>
              <w:t xml:space="preserve">Characteristic</w:t>
            </w:r>
            <w:r w:rsidDel="00000000" w:rsidR="00000000" w:rsidRPr="00000000">
              <w:rPr>
                <w:rtl w:val="0"/>
              </w:rPr>
            </w:r>
          </w:p>
        </w:tc>
        <w:tc>
          <w:tcPr>
            <w:shd w:fill="e8eef5" w:val="clear"/>
            <w:tcMar>
              <w:top w:w="24.0" w:type="dxa"/>
              <w:left w:w="60.0" w:type="dxa"/>
              <w:bottom w:w="24.0" w:type="dxa"/>
              <w:right w:w="60.0" w:type="dxa"/>
            </w:tcMar>
            <w:vAlign w:val="center"/>
          </w:tcPr>
          <w:p w:rsidR="00000000" w:rsidDel="00000000" w:rsidP="00000000" w:rsidRDefault="00000000" w:rsidRPr="00000000" w14:paraId="00000102">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8"/>
                <w:szCs w:val="18"/>
                <w:rtl w:val="0"/>
              </w:rPr>
              <w:t xml:space="preserve">Isolated lateral (N=18,871)</w:t>
            </w:r>
            <w:r w:rsidDel="00000000" w:rsidR="00000000" w:rsidRPr="00000000">
              <w:rPr>
                <w:rtl w:val="0"/>
              </w:rPr>
            </w:r>
          </w:p>
        </w:tc>
        <w:tc>
          <w:tcPr>
            <w:shd w:fill="e8eef5" w:val="clear"/>
            <w:tcMar>
              <w:top w:w="24.0" w:type="dxa"/>
              <w:left w:w="60.0" w:type="dxa"/>
              <w:bottom w:w="24.0" w:type="dxa"/>
              <w:right w:w="60.0" w:type="dxa"/>
            </w:tcMar>
            <w:vAlign w:val="center"/>
          </w:tcPr>
          <w:p w:rsidR="00000000" w:rsidDel="00000000" w:rsidP="00000000" w:rsidRDefault="00000000" w:rsidRPr="00000000" w14:paraId="00000103">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8"/>
                <w:szCs w:val="18"/>
                <w:rtl w:val="0"/>
              </w:rPr>
              <w:t xml:space="preserve">Isolated medial (N=8,001)</w:t>
            </w:r>
            <w:r w:rsidDel="00000000" w:rsidR="00000000" w:rsidRPr="00000000">
              <w:rPr>
                <w:rtl w:val="0"/>
              </w:rPr>
            </w:r>
          </w:p>
        </w:tc>
        <w:tc>
          <w:tcPr>
            <w:shd w:fill="e8eef5" w:val="clear"/>
            <w:tcMar>
              <w:top w:w="24.0" w:type="dxa"/>
              <w:left w:w="60.0" w:type="dxa"/>
              <w:bottom w:w="24.0" w:type="dxa"/>
              <w:right w:w="60.0" w:type="dxa"/>
            </w:tcMar>
            <w:vAlign w:val="center"/>
          </w:tcPr>
          <w:p w:rsidR="00000000" w:rsidDel="00000000" w:rsidP="00000000" w:rsidRDefault="00000000" w:rsidRPr="00000000" w14:paraId="00000104">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8"/>
                <w:szCs w:val="18"/>
                <w:rtl w:val="0"/>
              </w:rPr>
              <w:t xml:space="preserve">Bimalleolar (N=16,794)</w:t>
            </w:r>
            <w:r w:rsidDel="00000000" w:rsidR="00000000" w:rsidRPr="00000000">
              <w:rPr>
                <w:rtl w:val="0"/>
              </w:rPr>
            </w:r>
          </w:p>
        </w:tc>
        <w:tc>
          <w:tcPr>
            <w:shd w:fill="e8eef5" w:val="clear"/>
            <w:tcMar>
              <w:top w:w="24.0" w:type="dxa"/>
              <w:left w:w="60.0" w:type="dxa"/>
              <w:bottom w:w="24.0" w:type="dxa"/>
              <w:right w:w="60.0" w:type="dxa"/>
            </w:tcMar>
            <w:vAlign w:val="center"/>
          </w:tcPr>
          <w:p w:rsidR="00000000" w:rsidDel="00000000" w:rsidP="00000000" w:rsidRDefault="00000000" w:rsidRPr="00000000" w14:paraId="00000105">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8"/>
                <w:szCs w:val="18"/>
                <w:rtl w:val="0"/>
              </w:rPr>
              <w:t xml:space="preserve">Trimalleolar (N=13,058)</w:t>
            </w:r>
            <w:r w:rsidDel="00000000" w:rsidR="00000000" w:rsidRPr="00000000">
              <w:rPr>
                <w:rtl w:val="0"/>
              </w:rPr>
            </w:r>
          </w:p>
        </w:tc>
      </w:tr>
      <w:tr>
        <w:trPr>
          <w:cantSplit w:val="0"/>
          <w:tblHeader w:val="0"/>
        </w:trPr>
        <w:tc>
          <w:tcPr>
            <w:gridSpan w:val="5"/>
            <w:shd w:fill="f3f6fa" w:val="clear"/>
            <w:tcMar>
              <w:top w:w="24.0" w:type="dxa"/>
              <w:left w:w="60.0" w:type="dxa"/>
              <w:bottom w:w="24.0" w:type="dxa"/>
              <w:right w:w="60.0" w:type="dxa"/>
            </w:tcMar>
            <w:vAlign w:val="center"/>
          </w:tcPr>
          <w:p w:rsidR="00000000" w:rsidDel="00000000" w:rsidP="00000000" w:rsidRDefault="00000000" w:rsidRPr="00000000" w14:paraId="00000106">
            <w:pPr>
              <w:spacing w:line="21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8"/>
                <w:szCs w:val="18"/>
                <w:rtl w:val="0"/>
              </w:rPr>
              <w:t xml:space="preserve">Demographics</w:t>
            </w:r>
            <w:r w:rsidDel="00000000" w:rsidR="00000000" w:rsidRPr="00000000">
              <w:rPr>
                <w:rtl w:val="0"/>
              </w:rPr>
            </w:r>
          </w:p>
        </w:tc>
      </w:tr>
      <w:tr>
        <w:trPr>
          <w:cantSplit w:val="0"/>
          <w:tblHeader w:val="0"/>
        </w:trPr>
        <w:tc>
          <w:tcPr>
            <w:tcMar>
              <w:top w:w="24.0" w:type="dxa"/>
              <w:left w:w="60.0" w:type="dxa"/>
              <w:bottom w:w="24.0" w:type="dxa"/>
              <w:right w:w="60.0" w:type="dxa"/>
            </w:tcMar>
            <w:vAlign w:val="center"/>
          </w:tcPr>
          <w:p w:rsidR="00000000" w:rsidDel="00000000" w:rsidP="00000000" w:rsidRDefault="00000000" w:rsidRPr="00000000" w14:paraId="0000010B">
            <w:pPr>
              <w:spacing w:line="21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Age at index, years, mean ± SD</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0C">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43.4 ± 18.4</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0D">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38.0 ± 19.4</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0E">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48.7 ± 19.8</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0F">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51.7 ± 18.1</w:t>
            </w:r>
            <w:r w:rsidDel="00000000" w:rsidR="00000000" w:rsidRPr="00000000">
              <w:rPr>
                <w:rtl w:val="0"/>
              </w:rPr>
            </w:r>
          </w:p>
        </w:tc>
      </w:tr>
      <w:tr>
        <w:trPr>
          <w:cantSplit w:val="0"/>
          <w:tblHeader w:val="0"/>
        </w:trPr>
        <w:tc>
          <w:tcPr>
            <w:tcMar>
              <w:top w:w="24.0" w:type="dxa"/>
              <w:left w:w="60.0" w:type="dxa"/>
              <w:bottom w:w="24.0" w:type="dxa"/>
              <w:right w:w="60.0" w:type="dxa"/>
            </w:tcMar>
            <w:vAlign w:val="center"/>
          </w:tcPr>
          <w:p w:rsidR="00000000" w:rsidDel="00000000" w:rsidP="00000000" w:rsidRDefault="00000000" w:rsidRPr="00000000" w14:paraId="00000110">
            <w:pPr>
              <w:spacing w:line="21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Age, median (IQR)</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11">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43 (30)</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12">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34 (33)</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13">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50 (32)</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14">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54 (29)</w:t>
            </w:r>
            <w:r w:rsidDel="00000000" w:rsidR="00000000" w:rsidRPr="00000000">
              <w:rPr>
                <w:rtl w:val="0"/>
              </w:rPr>
            </w:r>
          </w:p>
        </w:tc>
      </w:tr>
      <w:tr>
        <w:trPr>
          <w:cantSplit w:val="0"/>
          <w:tblHeader w:val="0"/>
        </w:trPr>
        <w:tc>
          <w:tcPr>
            <w:tcMar>
              <w:top w:w="24.0" w:type="dxa"/>
              <w:left w:w="60.0" w:type="dxa"/>
              <w:bottom w:w="24.0" w:type="dxa"/>
              <w:right w:w="60.0" w:type="dxa"/>
            </w:tcMar>
            <w:vAlign w:val="center"/>
          </w:tcPr>
          <w:p w:rsidR="00000000" w:rsidDel="00000000" w:rsidP="00000000" w:rsidRDefault="00000000" w:rsidRPr="00000000" w14:paraId="00000115">
            <w:pPr>
              <w:spacing w:line="21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Male</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16">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9,429 (50.0%)</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17">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4,524 (56.5%)</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18">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6,573 (39.1%)</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19">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3,650 (28.0%)</w:t>
            </w:r>
            <w:r w:rsidDel="00000000" w:rsidR="00000000" w:rsidRPr="00000000">
              <w:rPr>
                <w:rtl w:val="0"/>
              </w:rPr>
            </w:r>
          </w:p>
        </w:tc>
      </w:tr>
      <w:tr>
        <w:trPr>
          <w:cantSplit w:val="0"/>
          <w:tblHeader w:val="0"/>
        </w:trPr>
        <w:tc>
          <w:tcPr>
            <w:tcMar>
              <w:top w:w="24.0" w:type="dxa"/>
              <w:left w:w="60.0" w:type="dxa"/>
              <w:bottom w:w="24.0" w:type="dxa"/>
              <w:right w:w="60.0" w:type="dxa"/>
            </w:tcMar>
            <w:vAlign w:val="center"/>
          </w:tcPr>
          <w:p w:rsidR="00000000" w:rsidDel="00000000" w:rsidP="00000000" w:rsidRDefault="00000000" w:rsidRPr="00000000" w14:paraId="0000011A">
            <w:pPr>
              <w:spacing w:line="21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Female</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1B">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9,442 (50.0%)</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1C">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3,477 (43.5%)</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1D">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10,102 (60.2%)</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1E">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9,370 (71.8%)</w:t>
            </w:r>
            <w:r w:rsidDel="00000000" w:rsidR="00000000" w:rsidRPr="00000000">
              <w:rPr>
                <w:rtl w:val="0"/>
              </w:rPr>
            </w:r>
          </w:p>
        </w:tc>
      </w:tr>
      <w:tr>
        <w:trPr>
          <w:cantSplit w:val="0"/>
          <w:tblHeader w:val="0"/>
        </w:trPr>
        <w:tc>
          <w:tcPr>
            <w:gridSpan w:val="5"/>
            <w:shd w:fill="f3f6fa" w:val="clear"/>
            <w:tcMar>
              <w:top w:w="24.0" w:type="dxa"/>
              <w:left w:w="60.0" w:type="dxa"/>
              <w:bottom w:w="24.0" w:type="dxa"/>
              <w:right w:w="60.0" w:type="dxa"/>
            </w:tcMar>
            <w:vAlign w:val="center"/>
          </w:tcPr>
          <w:p w:rsidR="00000000" w:rsidDel="00000000" w:rsidP="00000000" w:rsidRDefault="00000000" w:rsidRPr="00000000" w14:paraId="0000011F">
            <w:pPr>
              <w:spacing w:line="21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8"/>
                <w:szCs w:val="18"/>
                <w:rtl w:val="0"/>
              </w:rPr>
              <w:t xml:space="preserve">Ethnicity</w:t>
            </w:r>
            <w:r w:rsidDel="00000000" w:rsidR="00000000" w:rsidRPr="00000000">
              <w:rPr>
                <w:rtl w:val="0"/>
              </w:rPr>
            </w:r>
          </w:p>
        </w:tc>
      </w:tr>
      <w:tr>
        <w:trPr>
          <w:cantSplit w:val="0"/>
          <w:tblHeader w:val="0"/>
        </w:trPr>
        <w:tc>
          <w:tcPr>
            <w:tcMar>
              <w:top w:w="24.0" w:type="dxa"/>
              <w:left w:w="60.0" w:type="dxa"/>
              <w:bottom w:w="24.0" w:type="dxa"/>
              <w:right w:w="60.0" w:type="dxa"/>
            </w:tcMar>
            <w:vAlign w:val="center"/>
          </w:tcPr>
          <w:p w:rsidR="00000000" w:rsidDel="00000000" w:rsidP="00000000" w:rsidRDefault="00000000" w:rsidRPr="00000000" w14:paraId="00000124">
            <w:pPr>
              <w:spacing w:line="21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Not Hispanic or Latino</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25">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14,036 (74.4%)</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26">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5,679 (71.0%)</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27">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11,224 (66.8%)</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28">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9,164 (70.2%)</w:t>
            </w:r>
            <w:r w:rsidDel="00000000" w:rsidR="00000000" w:rsidRPr="00000000">
              <w:rPr>
                <w:rtl w:val="0"/>
              </w:rPr>
            </w:r>
          </w:p>
        </w:tc>
      </w:tr>
      <w:tr>
        <w:trPr>
          <w:cantSplit w:val="0"/>
          <w:tblHeader w:val="0"/>
        </w:trPr>
        <w:tc>
          <w:tcPr>
            <w:tcMar>
              <w:top w:w="24.0" w:type="dxa"/>
              <w:left w:w="60.0" w:type="dxa"/>
              <w:bottom w:w="24.0" w:type="dxa"/>
              <w:right w:w="60.0" w:type="dxa"/>
            </w:tcMar>
            <w:vAlign w:val="center"/>
          </w:tcPr>
          <w:p w:rsidR="00000000" w:rsidDel="00000000" w:rsidP="00000000" w:rsidRDefault="00000000" w:rsidRPr="00000000" w14:paraId="00000129">
            <w:pPr>
              <w:spacing w:line="21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Hispanic or Latino</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2A">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2,149 (11.4%)</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2B">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1,201 (15.0%)</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2C">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1,849 (11.0%)</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2D">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1,155 (8.8%)</w:t>
            </w:r>
            <w:r w:rsidDel="00000000" w:rsidR="00000000" w:rsidRPr="00000000">
              <w:rPr>
                <w:rtl w:val="0"/>
              </w:rPr>
            </w:r>
          </w:p>
        </w:tc>
      </w:tr>
      <w:tr>
        <w:trPr>
          <w:cantSplit w:val="0"/>
          <w:tblHeader w:val="0"/>
        </w:trPr>
        <w:tc>
          <w:tcPr>
            <w:gridSpan w:val="5"/>
            <w:shd w:fill="f3f6fa" w:val="clear"/>
            <w:tcMar>
              <w:top w:w="24.0" w:type="dxa"/>
              <w:left w:w="60.0" w:type="dxa"/>
              <w:bottom w:w="24.0" w:type="dxa"/>
              <w:right w:w="60.0" w:type="dxa"/>
            </w:tcMar>
            <w:vAlign w:val="center"/>
          </w:tcPr>
          <w:p w:rsidR="00000000" w:rsidDel="00000000" w:rsidP="00000000" w:rsidRDefault="00000000" w:rsidRPr="00000000" w14:paraId="0000012E">
            <w:pPr>
              <w:spacing w:line="21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8"/>
                <w:szCs w:val="18"/>
                <w:rtl w:val="0"/>
              </w:rPr>
              <w:t xml:space="preserve">Race</w:t>
            </w:r>
            <w:r w:rsidDel="00000000" w:rsidR="00000000" w:rsidRPr="00000000">
              <w:rPr>
                <w:rtl w:val="0"/>
              </w:rPr>
            </w:r>
          </w:p>
        </w:tc>
      </w:tr>
      <w:tr>
        <w:trPr>
          <w:cantSplit w:val="0"/>
          <w:tblHeader w:val="0"/>
        </w:trPr>
        <w:tc>
          <w:tcPr>
            <w:tcMar>
              <w:top w:w="24.0" w:type="dxa"/>
              <w:left w:w="60.0" w:type="dxa"/>
              <w:bottom w:w="24.0" w:type="dxa"/>
              <w:right w:w="60.0" w:type="dxa"/>
            </w:tcMar>
            <w:vAlign w:val="center"/>
          </w:tcPr>
          <w:p w:rsidR="00000000" w:rsidDel="00000000" w:rsidP="00000000" w:rsidRDefault="00000000" w:rsidRPr="00000000" w14:paraId="00000133">
            <w:pPr>
              <w:spacing w:line="21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White</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34">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13,214 (70.0%)</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35">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5,623 (70.3%)</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36">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12,084 (72.0%)</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37">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10,099 (77.3%)</w:t>
            </w:r>
            <w:r w:rsidDel="00000000" w:rsidR="00000000" w:rsidRPr="00000000">
              <w:rPr>
                <w:rtl w:val="0"/>
              </w:rPr>
            </w:r>
          </w:p>
        </w:tc>
      </w:tr>
      <w:tr>
        <w:trPr>
          <w:cantSplit w:val="0"/>
          <w:tblHeader w:val="0"/>
        </w:trPr>
        <w:tc>
          <w:tcPr>
            <w:tcMar>
              <w:top w:w="24.0" w:type="dxa"/>
              <w:left w:w="60.0" w:type="dxa"/>
              <w:bottom w:w="24.0" w:type="dxa"/>
              <w:right w:w="60.0" w:type="dxa"/>
            </w:tcMar>
            <w:vAlign w:val="center"/>
          </w:tcPr>
          <w:p w:rsidR="00000000" w:rsidDel="00000000" w:rsidP="00000000" w:rsidRDefault="00000000" w:rsidRPr="00000000" w14:paraId="00000138">
            <w:pPr>
              <w:spacing w:line="21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Black or African American</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39">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3,574 (18.9%)</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3A">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1,215 (15.2%)</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3B">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2,425 (14.4%)</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3C">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1,305 (10.0%)</w:t>
            </w:r>
            <w:r w:rsidDel="00000000" w:rsidR="00000000" w:rsidRPr="00000000">
              <w:rPr>
                <w:rtl w:val="0"/>
              </w:rPr>
            </w:r>
          </w:p>
        </w:tc>
      </w:tr>
      <w:tr>
        <w:trPr>
          <w:cantSplit w:val="0"/>
          <w:tblHeader w:val="0"/>
        </w:trPr>
        <w:tc>
          <w:tcPr>
            <w:tcMar>
              <w:top w:w="24.0" w:type="dxa"/>
              <w:left w:w="60.0" w:type="dxa"/>
              <w:bottom w:w="24.0" w:type="dxa"/>
              <w:right w:w="60.0" w:type="dxa"/>
            </w:tcMar>
            <w:vAlign w:val="center"/>
          </w:tcPr>
          <w:p w:rsidR="00000000" w:rsidDel="00000000" w:rsidP="00000000" w:rsidRDefault="00000000" w:rsidRPr="00000000" w14:paraId="0000013D">
            <w:pPr>
              <w:spacing w:line="21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Asian</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3E">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499 (2.6%)</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3F">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172 (2.1%)</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40">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416 (2.5%)</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41">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375 (2.9%)</w:t>
            </w:r>
            <w:r w:rsidDel="00000000" w:rsidR="00000000" w:rsidRPr="00000000">
              <w:rPr>
                <w:rtl w:val="0"/>
              </w:rPr>
            </w:r>
          </w:p>
        </w:tc>
      </w:tr>
      <w:tr>
        <w:trPr>
          <w:cantSplit w:val="0"/>
          <w:tblHeader w:val="0"/>
        </w:trPr>
        <w:tc>
          <w:tcPr>
            <w:tcMar>
              <w:top w:w="24.0" w:type="dxa"/>
              <w:left w:w="60.0" w:type="dxa"/>
              <w:bottom w:w="24.0" w:type="dxa"/>
              <w:right w:w="60.0" w:type="dxa"/>
            </w:tcMar>
            <w:vAlign w:val="center"/>
          </w:tcPr>
          <w:p w:rsidR="00000000" w:rsidDel="00000000" w:rsidP="00000000" w:rsidRDefault="00000000" w:rsidRPr="00000000" w14:paraId="00000142">
            <w:pPr>
              <w:spacing w:line="21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Unknown race</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43">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1,133 (6.0%)</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44">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564 (7.0%)</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45">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892 (5.3%)</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46">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622 (4.8%)</w:t>
            </w:r>
            <w:r w:rsidDel="00000000" w:rsidR="00000000" w:rsidRPr="00000000">
              <w:rPr>
                <w:rtl w:val="0"/>
              </w:rPr>
            </w:r>
          </w:p>
        </w:tc>
      </w:tr>
      <w:tr>
        <w:trPr>
          <w:cantSplit w:val="0"/>
          <w:tblHeader w:val="0"/>
        </w:trPr>
        <w:tc>
          <w:tcPr>
            <w:gridSpan w:val="5"/>
            <w:shd w:fill="f3f6fa" w:val="clear"/>
            <w:tcMar>
              <w:top w:w="24.0" w:type="dxa"/>
              <w:left w:w="60.0" w:type="dxa"/>
              <w:bottom w:w="24.0" w:type="dxa"/>
              <w:right w:w="60.0" w:type="dxa"/>
            </w:tcMar>
            <w:vAlign w:val="center"/>
          </w:tcPr>
          <w:p w:rsidR="00000000" w:rsidDel="00000000" w:rsidP="00000000" w:rsidRDefault="00000000" w:rsidRPr="00000000" w14:paraId="00000147">
            <w:pPr>
              <w:spacing w:line="21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8"/>
                <w:szCs w:val="18"/>
                <w:rtl w:val="0"/>
              </w:rPr>
              <w:t xml:space="preserve">Body mass index</w:t>
            </w:r>
            <w:r w:rsidDel="00000000" w:rsidR="00000000" w:rsidRPr="00000000">
              <w:rPr>
                <w:rtl w:val="0"/>
              </w:rPr>
            </w:r>
          </w:p>
        </w:tc>
      </w:tr>
      <w:tr>
        <w:trPr>
          <w:cantSplit w:val="0"/>
          <w:tblHeader w:val="0"/>
        </w:trPr>
        <w:tc>
          <w:tcPr>
            <w:tcMar>
              <w:top w:w="24.0" w:type="dxa"/>
              <w:left w:w="60.0" w:type="dxa"/>
              <w:bottom w:w="24.0" w:type="dxa"/>
              <w:right w:w="60.0" w:type="dxa"/>
            </w:tcMar>
            <w:vAlign w:val="center"/>
          </w:tcPr>
          <w:p w:rsidR="00000000" w:rsidDel="00000000" w:rsidP="00000000" w:rsidRDefault="00000000" w:rsidRPr="00000000" w14:paraId="0000014C">
            <w:pPr>
              <w:spacing w:line="21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BMI, kg/m², mean ± SD</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4D">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31.0 ± 7.30</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4E">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28.5 ± 7.57</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4F">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30.7 ± 7.28</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50">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30.9 ± 7.03</w:t>
            </w:r>
            <w:r w:rsidDel="00000000" w:rsidR="00000000" w:rsidRPr="00000000">
              <w:rPr>
                <w:rtl w:val="0"/>
              </w:rPr>
            </w:r>
          </w:p>
        </w:tc>
      </w:tr>
      <w:tr>
        <w:trPr>
          <w:cantSplit w:val="0"/>
          <w:tblHeader w:val="0"/>
        </w:trPr>
        <w:tc>
          <w:tcPr>
            <w:tcMar>
              <w:top w:w="24.0" w:type="dxa"/>
              <w:left w:w="60.0" w:type="dxa"/>
              <w:bottom w:w="24.0" w:type="dxa"/>
              <w:right w:w="60.0" w:type="dxa"/>
            </w:tcMar>
            <w:vAlign w:val="center"/>
          </w:tcPr>
          <w:p w:rsidR="00000000" w:rsidDel="00000000" w:rsidP="00000000" w:rsidRDefault="00000000" w:rsidRPr="00000000" w14:paraId="00000151">
            <w:pPr>
              <w:spacing w:line="21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BMI, median (IQR)</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52">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29.9 (9.31)</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53">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27.4 (9.21)</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54">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29.6 (9.47)</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55">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29.9 (9.08)</w:t>
            </w:r>
            <w:r w:rsidDel="00000000" w:rsidR="00000000" w:rsidRPr="00000000">
              <w:rPr>
                <w:rtl w:val="0"/>
              </w:rPr>
            </w:r>
          </w:p>
        </w:tc>
      </w:tr>
      <w:tr>
        <w:trPr>
          <w:cantSplit w:val="0"/>
          <w:tblHeader w:val="0"/>
        </w:trPr>
        <w:tc>
          <w:tcPr>
            <w:tcMar>
              <w:top w:w="24.0" w:type="dxa"/>
              <w:left w:w="60.0" w:type="dxa"/>
              <w:bottom w:w="24.0" w:type="dxa"/>
              <w:right w:w="60.0" w:type="dxa"/>
            </w:tcMar>
            <w:vAlign w:val="center"/>
          </w:tcPr>
          <w:p w:rsidR="00000000" w:rsidDel="00000000" w:rsidP="00000000" w:rsidRDefault="00000000" w:rsidRPr="00000000" w14:paraId="00000156">
            <w:pPr>
              <w:spacing w:line="21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Patients with BMI recorded</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57">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11,990 (63.5%)</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58">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3,750 (46.9%)</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59">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8,452 (50.3%)</w:t>
            </w:r>
            <w:r w:rsidDel="00000000" w:rsidR="00000000" w:rsidRPr="00000000">
              <w:rPr>
                <w:rtl w:val="0"/>
              </w:rPr>
            </w:r>
          </w:p>
        </w:tc>
        <w:tc>
          <w:tcPr>
            <w:tcMar>
              <w:top w:w="24.0" w:type="dxa"/>
              <w:left w:w="60.0" w:type="dxa"/>
              <w:bottom w:w="24.0" w:type="dxa"/>
              <w:right w:w="60.0" w:type="dxa"/>
            </w:tcMar>
            <w:vAlign w:val="center"/>
          </w:tcPr>
          <w:p w:rsidR="00000000" w:rsidDel="00000000" w:rsidP="00000000" w:rsidRDefault="00000000" w:rsidRPr="00000000" w14:paraId="0000015A">
            <w:pPr>
              <w:spacing w:line="21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8"/>
                <w:szCs w:val="18"/>
                <w:rtl w:val="0"/>
              </w:rPr>
              <w:t xml:space="preserve">6,510 (49.9%)</w:t>
            </w:r>
            <w:r w:rsidDel="00000000" w:rsidR="00000000" w:rsidRPr="00000000">
              <w:rPr>
                <w:rtl w:val="0"/>
              </w:rPr>
            </w:r>
          </w:p>
        </w:tc>
      </w:tr>
    </w:tbl>
    <w:p w:rsidR="00000000" w:rsidDel="00000000" w:rsidP="00000000" w:rsidRDefault="00000000" w:rsidRPr="00000000" w14:paraId="0000015B">
      <w:pPr>
        <w:spacing w:after="200" w:before="60" w:line="2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6"/>
          <w:szCs w:val="16"/>
          <w:rtl w:val="0"/>
        </w:rPr>
        <w:t xml:space="preserve">Characteristics are shown for the no-comorbidity reference group of each fracture-pattern cohort (the same reference denominators used in Tables 1–4). Values are n (%) unless otherwise indicated; baseline proportions are descriptive.</w:t>
      </w:r>
      <w:r w:rsidDel="00000000" w:rsidR="00000000" w:rsidRPr="00000000">
        <w:rPr>
          <w:rtl w:val="0"/>
        </w:rPr>
      </w:r>
    </w:p>
    <w:p w:rsidR="00000000" w:rsidDel="00000000" w:rsidP="00000000" w:rsidRDefault="00000000" w:rsidRPr="00000000" w14:paraId="0000015C">
      <w:pPr>
        <w:spacing w:after="200" w:before="60" w:line="22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D">
      <w:pPr>
        <w:rPr>
          <w:rFonts w:ascii="Times New Roman" w:cs="Times New Roman" w:eastAsia="Times New Roman" w:hAnsi="Times New Roman"/>
          <w:b w:val="1"/>
          <w:bCs w:val="1"/>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